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CC0A0" w14:textId="40889E61" w:rsidR="00F90A91" w:rsidRDefault="00F90A91">
      <w:pPr>
        <w:rPr>
          <w:b/>
          <w:bCs/>
        </w:rPr>
      </w:pPr>
      <w:r>
        <w:rPr>
          <w:b/>
          <w:bCs/>
        </w:rPr>
        <w:t xml:space="preserve">Capitalization Policy </w:t>
      </w:r>
      <w:r w:rsidR="00381466">
        <w:rPr>
          <w:b/>
          <w:bCs/>
        </w:rPr>
        <w:t>for Audio Visual System(s)</w:t>
      </w:r>
      <w:r w:rsidR="00BB3B7B">
        <w:rPr>
          <w:b/>
          <w:bCs/>
        </w:rPr>
        <w:t xml:space="preserve"> – Effective March 2</w:t>
      </w:r>
      <w:r w:rsidR="002523EA">
        <w:rPr>
          <w:b/>
          <w:bCs/>
        </w:rPr>
        <w:t>4</w:t>
      </w:r>
      <w:r w:rsidR="00BB3B7B">
        <w:rPr>
          <w:b/>
          <w:bCs/>
        </w:rPr>
        <w:t>, 2026</w:t>
      </w:r>
    </w:p>
    <w:p w14:paraId="7DF85950" w14:textId="158BE023" w:rsidR="00003B1E" w:rsidRDefault="00003B1E">
      <w:r>
        <w:t xml:space="preserve">An Audio Visual (A/V) system purchase or upgrade can be complex and usually involves the purchase of several individual pieces of equipment, supplies, software, engineering, design, and installation costs. Individual items are often moved from one room to another, are disposed of and replaced, and extremely difficult to track and inventory. For these reasons, agencies should </w:t>
      </w:r>
      <w:r w:rsidR="00C73F6D">
        <w:t>comply with the following</w:t>
      </w:r>
      <w:r>
        <w:t xml:space="preserve"> </w:t>
      </w:r>
      <w:r w:rsidR="00B864D1" w:rsidRPr="00241CBE">
        <w:rPr>
          <w:b/>
          <w:bCs/>
          <w:u w:val="single"/>
        </w:rPr>
        <w:t>only</w:t>
      </w:r>
      <w:r w:rsidR="00B864D1">
        <w:t xml:space="preserve"> </w:t>
      </w:r>
      <w:r>
        <w:t>when processing purchase orders or invoices for A/V system purchases/upgrades</w:t>
      </w:r>
      <w:r w:rsidR="009D10C5">
        <w:t xml:space="preserve"> with a total cost of $1,000,000 or less:</w:t>
      </w:r>
    </w:p>
    <w:p w14:paraId="700199DE" w14:textId="37477B8F" w:rsidR="00350257" w:rsidRDefault="00350257" w:rsidP="00350257">
      <w:pPr>
        <w:pStyle w:val="ListParagraph"/>
        <w:numPr>
          <w:ilvl w:val="0"/>
          <w:numId w:val="1"/>
        </w:numPr>
      </w:pPr>
      <w:r>
        <w:t>Agencies should apply capitalization</w:t>
      </w:r>
      <w:r w:rsidR="00537665">
        <w:t xml:space="preserve"> criteria</w:t>
      </w:r>
      <w:r>
        <w:t xml:space="preserve"> </w:t>
      </w:r>
      <w:r w:rsidR="00B864D1">
        <w:t xml:space="preserve">and low value asset </w:t>
      </w:r>
      <w:r>
        <w:t xml:space="preserve">criteria to each individual line </w:t>
      </w:r>
      <w:r w:rsidR="00577FF6">
        <w:t>item of equipment</w:t>
      </w:r>
      <w:r w:rsidR="00081484">
        <w:t>, including</w:t>
      </w:r>
      <w:r w:rsidR="00BB3B7B">
        <w:t xml:space="preserve"> </w:t>
      </w:r>
      <w:r w:rsidR="00577FF6">
        <w:t>sales or use tax</w:t>
      </w:r>
      <w:r w:rsidR="000B4DBD">
        <w:t xml:space="preserve"> and </w:t>
      </w:r>
      <w:r w:rsidR="00081484">
        <w:t>any allocated</w:t>
      </w:r>
      <w:r w:rsidR="00BB3B7B">
        <w:t xml:space="preserve"> </w:t>
      </w:r>
      <w:r w:rsidR="00081484">
        <w:t>costs mentioned in #2 below</w:t>
      </w:r>
      <w:r w:rsidR="00AB65F1">
        <w:t>.</w:t>
      </w:r>
      <w:r w:rsidR="00B864D1">
        <w:t xml:space="preserve"> The capitalization and low value asset criteria can be found in Exhibit 3.8(A) of the CGO Reporting Policies and Procedures Manual. </w:t>
      </w:r>
    </w:p>
    <w:p w14:paraId="0D21F962" w14:textId="2C975441" w:rsidR="00577FF6" w:rsidRDefault="00350257" w:rsidP="00350257">
      <w:pPr>
        <w:pStyle w:val="ListParagraph"/>
        <w:numPr>
          <w:ilvl w:val="1"/>
          <w:numId w:val="1"/>
        </w:numPr>
      </w:pPr>
      <w:r w:rsidRPr="00350257">
        <w:t>Exception</w:t>
      </w:r>
      <w:r w:rsidR="00577FF6">
        <w:t xml:space="preserve"> 1</w:t>
      </w:r>
      <w:r w:rsidRPr="00350257">
        <w:t>: If the</w:t>
      </w:r>
      <w:r>
        <w:t>re are</w:t>
      </w:r>
      <w:r w:rsidRPr="00350257">
        <w:t xml:space="preserve"> individual line items </w:t>
      </w:r>
      <w:r>
        <w:t xml:space="preserve">that </w:t>
      </w:r>
      <w:r w:rsidRPr="00350257">
        <w:t>are to be assembled into a single unit</w:t>
      </w:r>
      <w:r w:rsidR="00A944B5">
        <w:t xml:space="preserve"> (excluding items listed in Exception 2)</w:t>
      </w:r>
      <w:r w:rsidRPr="00350257">
        <w:t>, the assembled unit will be accounted for as one asset</w:t>
      </w:r>
      <w:r>
        <w:t xml:space="preserve"> if the combined cost exceeds the applicable threshold. </w:t>
      </w:r>
    </w:p>
    <w:p w14:paraId="3BA969C9" w14:textId="740A6D75" w:rsidR="00350257" w:rsidRDefault="00A944B5" w:rsidP="00350257">
      <w:pPr>
        <w:pStyle w:val="ListParagraph"/>
        <w:numPr>
          <w:ilvl w:val="1"/>
          <w:numId w:val="1"/>
        </w:numPr>
      </w:pPr>
      <w:r>
        <w:t xml:space="preserve">Exception 2: </w:t>
      </w:r>
      <w:r w:rsidR="00350257">
        <w:t>Mounts</w:t>
      </w:r>
      <w:r w:rsidR="00577FF6">
        <w:t xml:space="preserve">, bulk cables and wires, and generic cables (ex. HDMI, USB, RCA, Coaxial, Optical, </w:t>
      </w:r>
      <w:r w:rsidR="008C637F">
        <w:t xml:space="preserve">standard </w:t>
      </w:r>
      <w:r w:rsidR="00577FF6">
        <w:t xml:space="preserve">power cords, etc.) should be expensed as supplies. </w:t>
      </w:r>
    </w:p>
    <w:p w14:paraId="1A5B4219" w14:textId="0306E0F9" w:rsidR="00EA0720" w:rsidRDefault="00EA0720" w:rsidP="00EA0720">
      <w:pPr>
        <w:pStyle w:val="ListParagraph"/>
        <w:numPr>
          <w:ilvl w:val="0"/>
          <w:numId w:val="1"/>
        </w:numPr>
      </w:pPr>
      <w:r>
        <w:t>Costs for delivery/shipping, installation, design</w:t>
      </w:r>
      <w:r w:rsidRPr="00350257">
        <w:t xml:space="preserve">, engineering, </w:t>
      </w:r>
      <w:r>
        <w:t>testing,</w:t>
      </w:r>
      <w:r w:rsidR="00BB3B7B">
        <w:t xml:space="preserve"> </w:t>
      </w:r>
      <w:r>
        <w:t>commissioning, and any other professional services necessary to place the A/V system into its intended location and condition for use should be</w:t>
      </w:r>
      <w:r w:rsidRPr="00350257">
        <w:t xml:space="preserve"> </w:t>
      </w:r>
      <w:r>
        <w:t xml:space="preserve">allocated on a reasonable basis to the applicable line items of the invoice. </w:t>
      </w:r>
      <w:r w:rsidR="00081484">
        <w:t>T</w:t>
      </w:r>
      <w:r>
        <w:t>raining costs should be expensed as incurred.</w:t>
      </w:r>
    </w:p>
    <w:p w14:paraId="5060C21A" w14:textId="73799523" w:rsidR="00EA0720" w:rsidRDefault="00EA0720" w:rsidP="00EA0720">
      <w:pPr>
        <w:pStyle w:val="ListParagraph"/>
        <w:numPr>
          <w:ilvl w:val="0"/>
          <w:numId w:val="1"/>
        </w:numPr>
      </w:pPr>
      <w:r>
        <w:t>General supply costs should be expensed as incurred.</w:t>
      </w:r>
    </w:p>
    <w:p w14:paraId="01B0D734" w14:textId="78F0FE82" w:rsidR="00AB65F1" w:rsidRDefault="00DD19D9" w:rsidP="00350257">
      <w:pPr>
        <w:pStyle w:val="ListParagraph"/>
        <w:numPr>
          <w:ilvl w:val="0"/>
          <w:numId w:val="1"/>
        </w:numPr>
      </w:pPr>
      <w:r>
        <w:t xml:space="preserve">Any costs for software licenses, including sales or use tax, should be considered for capitalization using the applicable criteria for software or SBITAs. </w:t>
      </w:r>
      <w:r w:rsidR="00537665">
        <w:t>The capitalization criteria for software and SBITAs can be found in Exhibit 3.8(A) and Section 11, respectively, of the CGO Reporting Policies and Procedures Manual.</w:t>
      </w:r>
    </w:p>
    <w:p w14:paraId="566334D3" w14:textId="1393605E" w:rsidR="009D10C5" w:rsidRDefault="009D10C5" w:rsidP="009D10C5">
      <w:r>
        <w:t>If your agency has an A</w:t>
      </w:r>
      <w:r w:rsidR="00473E7B">
        <w:t>/</w:t>
      </w:r>
      <w:r>
        <w:t xml:space="preserve">V system purchase or upgrade with a total cost that exceeds $1,000,000, please contact the CGO </w:t>
      </w:r>
      <w:r w:rsidR="00473E7B">
        <w:t xml:space="preserve">to determine if the purchase or upgrade will need to </w:t>
      </w:r>
      <w:r w:rsidR="00480551">
        <w:t xml:space="preserve">be </w:t>
      </w:r>
      <w:r w:rsidR="00473E7B">
        <w:t xml:space="preserve">handled in a manner different </w:t>
      </w:r>
      <w:proofErr w:type="gramStart"/>
      <w:r w:rsidR="00473E7B">
        <w:t>than</w:t>
      </w:r>
      <w:proofErr w:type="gramEnd"/>
      <w:r w:rsidR="00473E7B">
        <w:t xml:space="preserve"> the one prescribed above. </w:t>
      </w:r>
    </w:p>
    <w:p w14:paraId="06301819" w14:textId="1CEEE5FE" w:rsidR="006E7742" w:rsidRDefault="00EF6078" w:rsidP="009D10C5">
      <w:r w:rsidRPr="00212567">
        <w:t xml:space="preserve">If you have any questions, </w:t>
      </w:r>
      <w:r w:rsidR="00212567" w:rsidRPr="00212567">
        <w:t>p</w:t>
      </w:r>
      <w:r w:rsidRPr="00212567">
        <w:t>lease</w:t>
      </w:r>
      <w:r>
        <w:t xml:space="preserve"> feel free to contact Layla Ballard-Sholly at </w:t>
      </w:r>
      <w:hyperlink r:id="rId5" w:history="1">
        <w:r>
          <w:rPr>
            <w:rStyle w:val="Hyperlink"/>
          </w:rPr>
          <w:t>lballardsholly@cg.sc.gov</w:t>
        </w:r>
      </w:hyperlink>
      <w:r>
        <w:t xml:space="preserve"> or 803-734-2121.</w:t>
      </w:r>
      <w:r w:rsidR="00081484">
        <w:t xml:space="preserve"> </w:t>
      </w:r>
    </w:p>
    <w:p w14:paraId="30CF1C20" w14:textId="77777777" w:rsidR="00081484" w:rsidRDefault="00081484" w:rsidP="009D10C5"/>
    <w:p w14:paraId="4425AA11" w14:textId="77777777" w:rsidR="00081484" w:rsidRDefault="00081484" w:rsidP="009D10C5"/>
    <w:sectPr w:rsidR="00081484" w:rsidSect="00BB3B7B">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580E78"/>
    <w:multiLevelType w:val="hybridMultilevel"/>
    <w:tmpl w:val="7560800A"/>
    <w:lvl w:ilvl="0" w:tplc="0409000F">
      <w:start w:val="1"/>
      <w:numFmt w:val="decimal"/>
      <w:lvlText w:val="%1."/>
      <w:lvlJc w:val="left"/>
      <w:pPr>
        <w:ind w:left="765" w:hanging="360"/>
      </w:pPr>
      <w:rPr>
        <w:rFonts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16cid:durableId="173694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B1E"/>
    <w:rsid w:val="00003B1E"/>
    <w:rsid w:val="00013B35"/>
    <w:rsid w:val="000272F8"/>
    <w:rsid w:val="00041F0C"/>
    <w:rsid w:val="00070E31"/>
    <w:rsid w:val="00081484"/>
    <w:rsid w:val="000B4DBD"/>
    <w:rsid w:val="00146A1D"/>
    <w:rsid w:val="00212567"/>
    <w:rsid w:val="0022106C"/>
    <w:rsid w:val="00241CBE"/>
    <w:rsid w:val="002523EA"/>
    <w:rsid w:val="003411B7"/>
    <w:rsid w:val="00350257"/>
    <w:rsid w:val="00373782"/>
    <w:rsid w:val="00381466"/>
    <w:rsid w:val="004401C2"/>
    <w:rsid w:val="00452A62"/>
    <w:rsid w:val="00466754"/>
    <w:rsid w:val="00473E7B"/>
    <w:rsid w:val="00480551"/>
    <w:rsid w:val="004D180E"/>
    <w:rsid w:val="004E05F5"/>
    <w:rsid w:val="00537665"/>
    <w:rsid w:val="00577FF6"/>
    <w:rsid w:val="00635734"/>
    <w:rsid w:val="006A170E"/>
    <w:rsid w:val="006C257E"/>
    <w:rsid w:val="006E7742"/>
    <w:rsid w:val="0079574F"/>
    <w:rsid w:val="007C1A3C"/>
    <w:rsid w:val="0089044E"/>
    <w:rsid w:val="008C637F"/>
    <w:rsid w:val="009A3480"/>
    <w:rsid w:val="009D10C5"/>
    <w:rsid w:val="00A5127E"/>
    <w:rsid w:val="00A637A7"/>
    <w:rsid w:val="00A84A9D"/>
    <w:rsid w:val="00A944B5"/>
    <w:rsid w:val="00AB65F1"/>
    <w:rsid w:val="00B01F4C"/>
    <w:rsid w:val="00B039FA"/>
    <w:rsid w:val="00B864D1"/>
    <w:rsid w:val="00BA05D9"/>
    <w:rsid w:val="00BB3B7B"/>
    <w:rsid w:val="00BC215F"/>
    <w:rsid w:val="00BF685F"/>
    <w:rsid w:val="00C73F6D"/>
    <w:rsid w:val="00CB2116"/>
    <w:rsid w:val="00D76259"/>
    <w:rsid w:val="00DD19D9"/>
    <w:rsid w:val="00DD6065"/>
    <w:rsid w:val="00E86786"/>
    <w:rsid w:val="00EA0720"/>
    <w:rsid w:val="00EB1A28"/>
    <w:rsid w:val="00EF6078"/>
    <w:rsid w:val="00F502D6"/>
    <w:rsid w:val="00F53680"/>
    <w:rsid w:val="00F90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380EF"/>
  <w15:chartTrackingRefBased/>
  <w15:docId w15:val="{6D46B3E5-B5BD-4947-9096-54D8D43DA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3B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3B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3B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3B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3B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3B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3B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3B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3B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3B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3B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3B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3B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3B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3B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3B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3B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3B1E"/>
    <w:rPr>
      <w:rFonts w:eastAsiaTheme="majorEastAsia" w:cstheme="majorBidi"/>
      <w:color w:val="272727" w:themeColor="text1" w:themeTint="D8"/>
    </w:rPr>
  </w:style>
  <w:style w:type="paragraph" w:styleId="Title">
    <w:name w:val="Title"/>
    <w:basedOn w:val="Normal"/>
    <w:next w:val="Normal"/>
    <w:link w:val="TitleChar"/>
    <w:uiPriority w:val="10"/>
    <w:qFormat/>
    <w:rsid w:val="00003B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3B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3B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3B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3B1E"/>
    <w:pPr>
      <w:spacing w:before="160"/>
      <w:jc w:val="center"/>
    </w:pPr>
    <w:rPr>
      <w:i/>
      <w:iCs/>
      <w:color w:val="404040" w:themeColor="text1" w:themeTint="BF"/>
    </w:rPr>
  </w:style>
  <w:style w:type="character" w:customStyle="1" w:styleId="QuoteChar">
    <w:name w:val="Quote Char"/>
    <w:basedOn w:val="DefaultParagraphFont"/>
    <w:link w:val="Quote"/>
    <w:uiPriority w:val="29"/>
    <w:rsid w:val="00003B1E"/>
    <w:rPr>
      <w:i/>
      <w:iCs/>
      <w:color w:val="404040" w:themeColor="text1" w:themeTint="BF"/>
    </w:rPr>
  </w:style>
  <w:style w:type="paragraph" w:styleId="ListParagraph">
    <w:name w:val="List Paragraph"/>
    <w:basedOn w:val="Normal"/>
    <w:uiPriority w:val="34"/>
    <w:qFormat/>
    <w:rsid w:val="00003B1E"/>
    <w:pPr>
      <w:ind w:left="720"/>
      <w:contextualSpacing/>
    </w:pPr>
  </w:style>
  <w:style w:type="character" w:styleId="IntenseEmphasis">
    <w:name w:val="Intense Emphasis"/>
    <w:basedOn w:val="DefaultParagraphFont"/>
    <w:uiPriority w:val="21"/>
    <w:qFormat/>
    <w:rsid w:val="00003B1E"/>
    <w:rPr>
      <w:i/>
      <w:iCs/>
      <w:color w:val="0F4761" w:themeColor="accent1" w:themeShade="BF"/>
    </w:rPr>
  </w:style>
  <w:style w:type="paragraph" w:styleId="IntenseQuote">
    <w:name w:val="Intense Quote"/>
    <w:basedOn w:val="Normal"/>
    <w:next w:val="Normal"/>
    <w:link w:val="IntenseQuoteChar"/>
    <w:uiPriority w:val="30"/>
    <w:qFormat/>
    <w:rsid w:val="00003B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3B1E"/>
    <w:rPr>
      <w:i/>
      <w:iCs/>
      <w:color w:val="0F4761" w:themeColor="accent1" w:themeShade="BF"/>
    </w:rPr>
  </w:style>
  <w:style w:type="character" w:styleId="IntenseReference">
    <w:name w:val="Intense Reference"/>
    <w:basedOn w:val="DefaultParagraphFont"/>
    <w:uiPriority w:val="32"/>
    <w:qFormat/>
    <w:rsid w:val="00003B1E"/>
    <w:rPr>
      <w:b/>
      <w:bCs/>
      <w:smallCaps/>
      <w:color w:val="0F4761" w:themeColor="accent1" w:themeShade="BF"/>
      <w:spacing w:val="5"/>
    </w:rPr>
  </w:style>
  <w:style w:type="character" w:styleId="Hyperlink">
    <w:name w:val="Hyperlink"/>
    <w:basedOn w:val="DefaultParagraphFont"/>
    <w:uiPriority w:val="99"/>
    <w:semiHidden/>
    <w:unhideWhenUsed/>
    <w:rsid w:val="00EF607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ballardsholly@cg.sc.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577</TotalTime>
  <Pages>1</Pages>
  <Words>366</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Ballard-Sholly, Layla</dc:creator>
  <cp:keywords/>
  <dc:description/>
  <cp:lastModifiedBy>Ballard-Sholly, Layla</cp:lastModifiedBy>
  <cp:revision>33</cp:revision>
  <dcterms:created xsi:type="dcterms:W3CDTF">2026-03-18T13:42:00Z</dcterms:created>
  <dcterms:modified xsi:type="dcterms:W3CDTF">2026-03-23T17:44:00Z</dcterms:modified>
</cp:coreProperties>
</file>