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067E" w14:textId="38D2BD59" w:rsidR="00F77148" w:rsidRPr="00E83033" w:rsidRDefault="00F77148" w:rsidP="00E83033">
      <w:pPr>
        <w:spacing w:before="0" w:after="0"/>
        <w:jc w:val="center"/>
        <w:rPr>
          <w:b/>
          <w:i/>
        </w:rPr>
      </w:pPr>
      <w:bookmarkStart w:id="0" w:name="_Toc296021504"/>
      <w:bookmarkStart w:id="1" w:name="_Toc296235396"/>
      <w:bookmarkStart w:id="2" w:name="_Toc296235497"/>
      <w:bookmarkStart w:id="3" w:name="_Toc296247781"/>
      <w:r w:rsidRPr="00E83033">
        <w:rPr>
          <w:b/>
          <w:i/>
        </w:rPr>
        <w:t>STATE OF SOUTH CAROLINA</w:t>
      </w:r>
    </w:p>
    <w:p w14:paraId="58C4C618" w14:textId="77777777" w:rsidR="00F77148" w:rsidRPr="00E83033" w:rsidRDefault="00F77148" w:rsidP="00E83033">
      <w:pPr>
        <w:spacing w:before="0" w:after="0"/>
        <w:jc w:val="center"/>
        <w:rPr>
          <w:b/>
          <w:i/>
        </w:rPr>
      </w:pPr>
      <w:r w:rsidRPr="00E83033">
        <w:rPr>
          <w:b/>
          <w:i/>
        </w:rPr>
        <w:t>OFFICE OF THE COMPTROLLER GENERAL</w:t>
      </w:r>
    </w:p>
    <w:p w14:paraId="0FF07B03" w14:textId="77777777" w:rsidR="00F77148" w:rsidRDefault="00F77148">
      <w:pPr>
        <w:spacing w:before="0" w:after="0"/>
        <w:jc w:val="left"/>
      </w:pPr>
    </w:p>
    <w:p w14:paraId="17ABD1F9" w14:textId="77777777" w:rsidR="00F77148" w:rsidRDefault="00F77148">
      <w:pPr>
        <w:spacing w:before="0" w:after="0"/>
        <w:jc w:val="left"/>
      </w:pPr>
    </w:p>
    <w:p w14:paraId="35A2F38E" w14:textId="77777777" w:rsidR="00F77148" w:rsidRDefault="00F77148">
      <w:pPr>
        <w:spacing w:before="0" w:after="0"/>
        <w:jc w:val="left"/>
      </w:pPr>
    </w:p>
    <w:p w14:paraId="47666DF8" w14:textId="77777777" w:rsidR="00F77148" w:rsidRDefault="00F77148">
      <w:pPr>
        <w:spacing w:before="0" w:after="0"/>
        <w:jc w:val="left"/>
      </w:pPr>
    </w:p>
    <w:p w14:paraId="3F95A5B3" w14:textId="77777777" w:rsidR="00F77148" w:rsidRDefault="00F77148">
      <w:pPr>
        <w:spacing w:before="0" w:after="0"/>
        <w:jc w:val="left"/>
      </w:pPr>
    </w:p>
    <w:p w14:paraId="6B029F5D" w14:textId="77777777" w:rsidR="00F77148" w:rsidRDefault="00F77148">
      <w:pPr>
        <w:spacing w:before="0" w:after="0"/>
        <w:jc w:val="left"/>
      </w:pPr>
    </w:p>
    <w:p w14:paraId="5EA89CBB" w14:textId="77777777" w:rsidR="00F77148" w:rsidRDefault="00F77148">
      <w:pPr>
        <w:spacing w:before="0" w:after="0"/>
        <w:jc w:val="left"/>
      </w:pPr>
    </w:p>
    <w:p w14:paraId="0591AC25" w14:textId="77777777" w:rsidR="00F77148" w:rsidRDefault="00F77148">
      <w:pPr>
        <w:spacing w:before="0" w:after="0"/>
        <w:jc w:val="left"/>
      </w:pPr>
    </w:p>
    <w:p w14:paraId="4085C4BC" w14:textId="77777777" w:rsidR="00F77148" w:rsidRDefault="00F77148">
      <w:pPr>
        <w:spacing w:before="0" w:after="0"/>
        <w:jc w:val="left"/>
      </w:pPr>
    </w:p>
    <w:p w14:paraId="66D92A19" w14:textId="77777777" w:rsidR="00F77148" w:rsidRPr="00F77148" w:rsidRDefault="00F77148" w:rsidP="00F77148">
      <w:pPr>
        <w:spacing w:before="0" w:after="0"/>
        <w:jc w:val="center"/>
        <w:rPr>
          <w:i/>
          <w:sz w:val="84"/>
          <w:szCs w:val="84"/>
        </w:rPr>
      </w:pPr>
      <w:r w:rsidRPr="00F77148">
        <w:rPr>
          <w:b/>
          <w:bCs/>
          <w:i/>
          <w:sz w:val="84"/>
          <w:szCs w:val="84"/>
        </w:rPr>
        <w:t>REPORTING POLICIES AND PROCEDURES MANUAL</w:t>
      </w:r>
    </w:p>
    <w:p w14:paraId="3430FE10" w14:textId="77777777" w:rsidR="00F77148" w:rsidRDefault="00F77148">
      <w:pPr>
        <w:spacing w:before="0" w:after="0"/>
        <w:jc w:val="left"/>
        <w:rPr>
          <w:b/>
          <w:sz w:val="30"/>
          <w:szCs w:val="24"/>
        </w:rPr>
      </w:pPr>
      <w:r>
        <w:br w:type="page"/>
      </w:r>
    </w:p>
    <w:p w14:paraId="568F84C0" w14:textId="77777777" w:rsidR="003D60E3" w:rsidRPr="004D330F" w:rsidRDefault="003D60E3" w:rsidP="00645391">
      <w:pPr>
        <w:pStyle w:val="Heading1"/>
      </w:pPr>
      <w:bookmarkStart w:id="4" w:name="_Toc166149210"/>
      <w:r w:rsidRPr="004D330F">
        <w:lastRenderedPageBreak/>
        <w:t>TABLE OF CONTENTS</w:t>
      </w:r>
      <w:bookmarkEnd w:id="0"/>
      <w:bookmarkEnd w:id="1"/>
      <w:bookmarkEnd w:id="2"/>
      <w:bookmarkEnd w:id="3"/>
      <w:bookmarkEnd w:id="4"/>
    </w:p>
    <w:p w14:paraId="228287E3" w14:textId="3D48973E" w:rsidR="00B70EC2" w:rsidRDefault="00914D43">
      <w:pPr>
        <w:pStyle w:val="TOC1"/>
        <w:tabs>
          <w:tab w:val="right" w:leader="dot" w:pos="10214"/>
        </w:tabs>
        <w:rPr>
          <w:rFonts w:asciiTheme="minorHAnsi" w:eastAsiaTheme="minorEastAsia" w:hAnsiTheme="minorHAnsi" w:cstheme="minorBidi"/>
          <w:b w:val="0"/>
          <w:noProof/>
          <w:kern w:val="2"/>
          <w:sz w:val="22"/>
          <w:szCs w:val="22"/>
          <w14:ligatures w14:val="standardContextual"/>
        </w:rPr>
      </w:pPr>
      <w:r>
        <w:rPr>
          <w:szCs w:val="24"/>
        </w:rPr>
        <w:fldChar w:fldCharType="begin"/>
      </w:r>
      <w:r w:rsidR="00222D36">
        <w:rPr>
          <w:szCs w:val="24"/>
        </w:rPr>
        <w:instrText xml:space="preserve"> TOC \o "1-3" \h \z \u </w:instrText>
      </w:r>
      <w:r>
        <w:rPr>
          <w:szCs w:val="24"/>
        </w:rPr>
        <w:fldChar w:fldCharType="separate"/>
      </w:r>
      <w:hyperlink w:anchor="_Toc166149210" w:history="1">
        <w:r w:rsidR="00B70EC2" w:rsidRPr="00FE60E8">
          <w:rPr>
            <w:rStyle w:val="Hyperlink"/>
            <w:noProof/>
          </w:rPr>
          <w:t>TABLE OF CONTENTS</w:t>
        </w:r>
        <w:r w:rsidR="00B70EC2">
          <w:rPr>
            <w:noProof/>
            <w:webHidden/>
          </w:rPr>
          <w:tab/>
        </w:r>
        <w:r w:rsidR="00B70EC2">
          <w:rPr>
            <w:noProof/>
            <w:webHidden/>
          </w:rPr>
          <w:fldChar w:fldCharType="begin"/>
        </w:r>
        <w:r w:rsidR="00B70EC2">
          <w:rPr>
            <w:noProof/>
            <w:webHidden/>
          </w:rPr>
          <w:instrText xml:space="preserve"> PAGEREF _Toc166149210 \h </w:instrText>
        </w:r>
        <w:r w:rsidR="00B70EC2">
          <w:rPr>
            <w:noProof/>
            <w:webHidden/>
          </w:rPr>
        </w:r>
        <w:r w:rsidR="00B70EC2">
          <w:rPr>
            <w:noProof/>
            <w:webHidden/>
          </w:rPr>
          <w:fldChar w:fldCharType="separate"/>
        </w:r>
        <w:r w:rsidR="00B70EC2">
          <w:rPr>
            <w:noProof/>
            <w:webHidden/>
          </w:rPr>
          <w:t>2</w:t>
        </w:r>
        <w:r w:rsidR="00B70EC2">
          <w:rPr>
            <w:noProof/>
            <w:webHidden/>
          </w:rPr>
          <w:fldChar w:fldCharType="end"/>
        </w:r>
      </w:hyperlink>
    </w:p>
    <w:p w14:paraId="04A3D1B5" w14:textId="54702EE5"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211" w:history="1">
        <w:r w:rsidR="00B70EC2" w:rsidRPr="00FE60E8">
          <w:rPr>
            <w:rStyle w:val="Hyperlink"/>
            <w:noProof/>
          </w:rPr>
          <w:t>PART I INTRODUCTION</w:t>
        </w:r>
        <w:r w:rsidR="00B70EC2">
          <w:rPr>
            <w:noProof/>
            <w:webHidden/>
          </w:rPr>
          <w:tab/>
        </w:r>
        <w:r w:rsidR="00B70EC2">
          <w:rPr>
            <w:noProof/>
            <w:webHidden/>
          </w:rPr>
          <w:fldChar w:fldCharType="begin"/>
        </w:r>
        <w:r w:rsidR="00B70EC2">
          <w:rPr>
            <w:noProof/>
            <w:webHidden/>
          </w:rPr>
          <w:instrText xml:space="preserve"> PAGEREF _Toc166149211 \h </w:instrText>
        </w:r>
        <w:r w:rsidR="00B70EC2">
          <w:rPr>
            <w:noProof/>
            <w:webHidden/>
          </w:rPr>
        </w:r>
        <w:r w:rsidR="00B70EC2">
          <w:rPr>
            <w:noProof/>
            <w:webHidden/>
          </w:rPr>
          <w:fldChar w:fldCharType="separate"/>
        </w:r>
        <w:r w:rsidR="00B70EC2">
          <w:rPr>
            <w:noProof/>
            <w:webHidden/>
          </w:rPr>
          <w:t>6</w:t>
        </w:r>
        <w:r w:rsidR="00B70EC2">
          <w:rPr>
            <w:noProof/>
            <w:webHidden/>
          </w:rPr>
          <w:fldChar w:fldCharType="end"/>
        </w:r>
      </w:hyperlink>
    </w:p>
    <w:p w14:paraId="1BB0AFBF" w14:textId="0B1D6431"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12" w:history="1">
        <w:r w:rsidR="00B70EC2" w:rsidRPr="00FE60E8">
          <w:rPr>
            <w:rStyle w:val="Hyperlink"/>
            <w:noProof/>
          </w:rPr>
          <w:t>Section 1.0 OVERVIEW &amp; SUMMARY OF CHANGES</w:t>
        </w:r>
        <w:r w:rsidR="00B70EC2">
          <w:rPr>
            <w:noProof/>
            <w:webHidden/>
          </w:rPr>
          <w:tab/>
        </w:r>
        <w:r w:rsidR="00B70EC2">
          <w:rPr>
            <w:noProof/>
            <w:webHidden/>
          </w:rPr>
          <w:fldChar w:fldCharType="begin"/>
        </w:r>
        <w:r w:rsidR="00B70EC2">
          <w:rPr>
            <w:noProof/>
            <w:webHidden/>
          </w:rPr>
          <w:instrText xml:space="preserve"> PAGEREF _Toc166149212 \h </w:instrText>
        </w:r>
        <w:r w:rsidR="00B70EC2">
          <w:rPr>
            <w:noProof/>
            <w:webHidden/>
          </w:rPr>
        </w:r>
        <w:r w:rsidR="00B70EC2">
          <w:rPr>
            <w:noProof/>
            <w:webHidden/>
          </w:rPr>
          <w:fldChar w:fldCharType="separate"/>
        </w:r>
        <w:r w:rsidR="00B70EC2">
          <w:rPr>
            <w:noProof/>
            <w:webHidden/>
          </w:rPr>
          <w:t>6</w:t>
        </w:r>
        <w:r w:rsidR="00B70EC2">
          <w:rPr>
            <w:noProof/>
            <w:webHidden/>
          </w:rPr>
          <w:fldChar w:fldCharType="end"/>
        </w:r>
      </w:hyperlink>
    </w:p>
    <w:p w14:paraId="6453058E" w14:textId="58E10311"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13" w:history="1">
        <w:r w:rsidR="00B70EC2" w:rsidRPr="00FE60E8">
          <w:rPr>
            <w:rStyle w:val="Hyperlink"/>
            <w:noProof/>
          </w:rPr>
          <w:t>Overview</w:t>
        </w:r>
        <w:r w:rsidR="00B70EC2">
          <w:rPr>
            <w:noProof/>
            <w:webHidden/>
          </w:rPr>
          <w:tab/>
        </w:r>
        <w:r w:rsidR="00B70EC2">
          <w:rPr>
            <w:noProof/>
            <w:webHidden/>
          </w:rPr>
          <w:fldChar w:fldCharType="begin"/>
        </w:r>
        <w:r w:rsidR="00B70EC2">
          <w:rPr>
            <w:noProof/>
            <w:webHidden/>
          </w:rPr>
          <w:instrText xml:space="preserve"> PAGEREF _Toc166149213 \h </w:instrText>
        </w:r>
        <w:r w:rsidR="00B70EC2">
          <w:rPr>
            <w:noProof/>
            <w:webHidden/>
          </w:rPr>
        </w:r>
        <w:r w:rsidR="00B70EC2">
          <w:rPr>
            <w:noProof/>
            <w:webHidden/>
          </w:rPr>
          <w:fldChar w:fldCharType="separate"/>
        </w:r>
        <w:r w:rsidR="00B70EC2">
          <w:rPr>
            <w:noProof/>
            <w:webHidden/>
          </w:rPr>
          <w:t>6</w:t>
        </w:r>
        <w:r w:rsidR="00B70EC2">
          <w:rPr>
            <w:noProof/>
            <w:webHidden/>
          </w:rPr>
          <w:fldChar w:fldCharType="end"/>
        </w:r>
      </w:hyperlink>
    </w:p>
    <w:p w14:paraId="60090A40" w14:textId="539247E9"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14" w:history="1">
        <w:r w:rsidR="00B70EC2" w:rsidRPr="00FE60E8">
          <w:rPr>
            <w:rStyle w:val="Hyperlink"/>
            <w:noProof/>
          </w:rPr>
          <w:t xml:space="preserve">Changes to </w:t>
        </w:r>
        <w:r>
          <w:rPr>
            <w:rStyle w:val="Hyperlink"/>
            <w:noProof/>
          </w:rPr>
          <w:t>Reporting Packages</w:t>
        </w:r>
        <w:r w:rsidR="00B70EC2">
          <w:rPr>
            <w:noProof/>
            <w:webHidden/>
          </w:rPr>
          <w:tab/>
        </w:r>
        <w:r w:rsidR="00B70EC2">
          <w:rPr>
            <w:noProof/>
            <w:webHidden/>
          </w:rPr>
          <w:fldChar w:fldCharType="begin"/>
        </w:r>
        <w:r w:rsidR="00B70EC2">
          <w:rPr>
            <w:noProof/>
            <w:webHidden/>
          </w:rPr>
          <w:instrText xml:space="preserve"> PAGEREF _Toc166149214 \h </w:instrText>
        </w:r>
        <w:r w:rsidR="00B70EC2">
          <w:rPr>
            <w:noProof/>
            <w:webHidden/>
          </w:rPr>
        </w:r>
        <w:r w:rsidR="00B70EC2">
          <w:rPr>
            <w:noProof/>
            <w:webHidden/>
          </w:rPr>
          <w:fldChar w:fldCharType="separate"/>
        </w:r>
        <w:r w:rsidR="00B70EC2">
          <w:rPr>
            <w:noProof/>
            <w:webHidden/>
          </w:rPr>
          <w:t>6</w:t>
        </w:r>
        <w:r w:rsidR="00B70EC2">
          <w:rPr>
            <w:noProof/>
            <w:webHidden/>
          </w:rPr>
          <w:fldChar w:fldCharType="end"/>
        </w:r>
      </w:hyperlink>
    </w:p>
    <w:p w14:paraId="55DB2825" w14:textId="61EF4FA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15" w:history="1">
        <w:r w:rsidR="00B70EC2" w:rsidRPr="00FE60E8">
          <w:rPr>
            <w:rStyle w:val="Hyperlink"/>
            <w:noProof/>
          </w:rPr>
          <w:t>Implementation of New Accounting Pronouncements</w:t>
        </w:r>
        <w:r w:rsidR="00B70EC2">
          <w:rPr>
            <w:noProof/>
            <w:webHidden/>
          </w:rPr>
          <w:tab/>
        </w:r>
        <w:r w:rsidR="00B70EC2">
          <w:rPr>
            <w:noProof/>
            <w:webHidden/>
          </w:rPr>
          <w:fldChar w:fldCharType="begin"/>
        </w:r>
        <w:r w:rsidR="00B70EC2">
          <w:rPr>
            <w:noProof/>
            <w:webHidden/>
          </w:rPr>
          <w:instrText xml:space="preserve"> PAGEREF _Toc166149215 \h </w:instrText>
        </w:r>
        <w:r w:rsidR="00B70EC2">
          <w:rPr>
            <w:noProof/>
            <w:webHidden/>
          </w:rPr>
        </w:r>
        <w:r w:rsidR="00B70EC2">
          <w:rPr>
            <w:noProof/>
            <w:webHidden/>
          </w:rPr>
          <w:fldChar w:fldCharType="separate"/>
        </w:r>
        <w:r w:rsidR="00B70EC2">
          <w:rPr>
            <w:noProof/>
            <w:webHidden/>
          </w:rPr>
          <w:t>7</w:t>
        </w:r>
        <w:r w:rsidR="00B70EC2">
          <w:rPr>
            <w:noProof/>
            <w:webHidden/>
          </w:rPr>
          <w:fldChar w:fldCharType="end"/>
        </w:r>
      </w:hyperlink>
    </w:p>
    <w:p w14:paraId="539FE6B0" w14:textId="3A7B9C3A"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16" w:history="1">
        <w:r w:rsidR="00B70EC2" w:rsidRPr="00FE60E8">
          <w:rPr>
            <w:rStyle w:val="Hyperlink"/>
            <w:noProof/>
          </w:rPr>
          <w:t>Section 1.1 ACCOUNTING STANDARDS</w:t>
        </w:r>
        <w:r w:rsidR="00B70EC2">
          <w:rPr>
            <w:noProof/>
            <w:webHidden/>
          </w:rPr>
          <w:tab/>
        </w:r>
        <w:r w:rsidR="00B70EC2">
          <w:rPr>
            <w:noProof/>
            <w:webHidden/>
          </w:rPr>
          <w:fldChar w:fldCharType="begin"/>
        </w:r>
        <w:r w:rsidR="00B70EC2">
          <w:rPr>
            <w:noProof/>
            <w:webHidden/>
          </w:rPr>
          <w:instrText xml:space="preserve"> PAGEREF _Toc166149216 \h </w:instrText>
        </w:r>
        <w:r w:rsidR="00B70EC2">
          <w:rPr>
            <w:noProof/>
            <w:webHidden/>
          </w:rPr>
        </w:r>
        <w:r w:rsidR="00B70EC2">
          <w:rPr>
            <w:noProof/>
            <w:webHidden/>
          </w:rPr>
          <w:fldChar w:fldCharType="separate"/>
        </w:r>
        <w:r w:rsidR="00B70EC2">
          <w:rPr>
            <w:noProof/>
            <w:webHidden/>
          </w:rPr>
          <w:t>8</w:t>
        </w:r>
        <w:r w:rsidR="00B70EC2">
          <w:rPr>
            <w:noProof/>
            <w:webHidden/>
          </w:rPr>
          <w:fldChar w:fldCharType="end"/>
        </w:r>
      </w:hyperlink>
    </w:p>
    <w:p w14:paraId="3861C036" w14:textId="2D6F51B2"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17" w:history="1">
        <w:r w:rsidR="00B70EC2" w:rsidRPr="00FE60E8">
          <w:rPr>
            <w:rStyle w:val="Hyperlink"/>
            <w:noProof/>
          </w:rPr>
          <w:t>Generally Accepted Accounting Principles (GAAP)</w:t>
        </w:r>
        <w:r w:rsidR="00B70EC2">
          <w:rPr>
            <w:noProof/>
            <w:webHidden/>
          </w:rPr>
          <w:tab/>
        </w:r>
        <w:r w:rsidR="00B70EC2">
          <w:rPr>
            <w:noProof/>
            <w:webHidden/>
          </w:rPr>
          <w:fldChar w:fldCharType="begin"/>
        </w:r>
        <w:r w:rsidR="00B70EC2">
          <w:rPr>
            <w:noProof/>
            <w:webHidden/>
          </w:rPr>
          <w:instrText xml:space="preserve"> PAGEREF _Toc166149217 \h </w:instrText>
        </w:r>
        <w:r w:rsidR="00B70EC2">
          <w:rPr>
            <w:noProof/>
            <w:webHidden/>
          </w:rPr>
        </w:r>
        <w:r w:rsidR="00B70EC2">
          <w:rPr>
            <w:noProof/>
            <w:webHidden/>
          </w:rPr>
          <w:fldChar w:fldCharType="separate"/>
        </w:r>
        <w:r w:rsidR="00B70EC2">
          <w:rPr>
            <w:noProof/>
            <w:webHidden/>
          </w:rPr>
          <w:t>8</w:t>
        </w:r>
        <w:r w:rsidR="00B70EC2">
          <w:rPr>
            <w:noProof/>
            <w:webHidden/>
          </w:rPr>
          <w:fldChar w:fldCharType="end"/>
        </w:r>
      </w:hyperlink>
    </w:p>
    <w:p w14:paraId="19179C08" w14:textId="7670437B"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18" w:history="1">
        <w:r w:rsidR="00B70EC2" w:rsidRPr="00FE60E8">
          <w:rPr>
            <w:rStyle w:val="Hyperlink"/>
            <w:noProof/>
          </w:rPr>
          <w:t>The Certificate of Achievement for Excellence in Financial Reporting</w:t>
        </w:r>
        <w:r w:rsidR="00B70EC2">
          <w:rPr>
            <w:noProof/>
            <w:webHidden/>
          </w:rPr>
          <w:tab/>
        </w:r>
        <w:r w:rsidR="00B70EC2">
          <w:rPr>
            <w:noProof/>
            <w:webHidden/>
          </w:rPr>
          <w:fldChar w:fldCharType="begin"/>
        </w:r>
        <w:r w:rsidR="00B70EC2">
          <w:rPr>
            <w:noProof/>
            <w:webHidden/>
          </w:rPr>
          <w:instrText xml:space="preserve"> PAGEREF _Toc166149218 \h </w:instrText>
        </w:r>
        <w:r w:rsidR="00B70EC2">
          <w:rPr>
            <w:noProof/>
            <w:webHidden/>
          </w:rPr>
        </w:r>
        <w:r w:rsidR="00B70EC2">
          <w:rPr>
            <w:noProof/>
            <w:webHidden/>
          </w:rPr>
          <w:fldChar w:fldCharType="separate"/>
        </w:r>
        <w:r w:rsidR="00B70EC2">
          <w:rPr>
            <w:noProof/>
            <w:webHidden/>
          </w:rPr>
          <w:t>8</w:t>
        </w:r>
        <w:r w:rsidR="00B70EC2">
          <w:rPr>
            <w:noProof/>
            <w:webHidden/>
          </w:rPr>
          <w:fldChar w:fldCharType="end"/>
        </w:r>
      </w:hyperlink>
    </w:p>
    <w:p w14:paraId="39C98C2A" w14:textId="38567C92"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19" w:history="1">
        <w:r w:rsidR="00B70EC2" w:rsidRPr="00FE60E8">
          <w:rPr>
            <w:rStyle w:val="Hyperlink"/>
            <w:noProof/>
          </w:rPr>
          <w:t>Section 1.2 YEAR-END REPORTING —AN OVERVIEW</w:t>
        </w:r>
        <w:r w:rsidR="00B70EC2">
          <w:rPr>
            <w:noProof/>
            <w:webHidden/>
          </w:rPr>
          <w:tab/>
        </w:r>
        <w:r w:rsidR="00B70EC2">
          <w:rPr>
            <w:noProof/>
            <w:webHidden/>
          </w:rPr>
          <w:fldChar w:fldCharType="begin"/>
        </w:r>
        <w:r w:rsidR="00B70EC2">
          <w:rPr>
            <w:noProof/>
            <w:webHidden/>
          </w:rPr>
          <w:instrText xml:space="preserve"> PAGEREF _Toc166149219 \h </w:instrText>
        </w:r>
        <w:r w:rsidR="00B70EC2">
          <w:rPr>
            <w:noProof/>
            <w:webHidden/>
          </w:rPr>
        </w:r>
        <w:r w:rsidR="00B70EC2">
          <w:rPr>
            <w:noProof/>
            <w:webHidden/>
          </w:rPr>
          <w:fldChar w:fldCharType="separate"/>
        </w:r>
        <w:r w:rsidR="00B70EC2">
          <w:rPr>
            <w:noProof/>
            <w:webHidden/>
          </w:rPr>
          <w:t>9</w:t>
        </w:r>
        <w:r w:rsidR="00B70EC2">
          <w:rPr>
            <w:noProof/>
            <w:webHidden/>
          </w:rPr>
          <w:fldChar w:fldCharType="end"/>
        </w:r>
      </w:hyperlink>
    </w:p>
    <w:p w14:paraId="0412F603" w14:textId="65FF7377"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0" w:history="1">
        <w:r w:rsidR="00B70EC2" w:rsidRPr="00FE60E8">
          <w:rPr>
            <w:rStyle w:val="Hyperlink"/>
            <w:noProof/>
          </w:rPr>
          <w:t>Responsibilities of the Agency</w:t>
        </w:r>
        <w:r w:rsidR="00B70EC2">
          <w:rPr>
            <w:noProof/>
            <w:webHidden/>
          </w:rPr>
          <w:tab/>
        </w:r>
        <w:r w:rsidR="00B70EC2">
          <w:rPr>
            <w:noProof/>
            <w:webHidden/>
          </w:rPr>
          <w:fldChar w:fldCharType="begin"/>
        </w:r>
        <w:r w:rsidR="00B70EC2">
          <w:rPr>
            <w:noProof/>
            <w:webHidden/>
          </w:rPr>
          <w:instrText xml:space="preserve"> PAGEREF _Toc166149220 \h </w:instrText>
        </w:r>
        <w:r w:rsidR="00B70EC2">
          <w:rPr>
            <w:noProof/>
            <w:webHidden/>
          </w:rPr>
        </w:r>
        <w:r w:rsidR="00B70EC2">
          <w:rPr>
            <w:noProof/>
            <w:webHidden/>
          </w:rPr>
          <w:fldChar w:fldCharType="separate"/>
        </w:r>
        <w:r w:rsidR="00B70EC2">
          <w:rPr>
            <w:noProof/>
            <w:webHidden/>
          </w:rPr>
          <w:t>9</w:t>
        </w:r>
        <w:r w:rsidR="00B70EC2">
          <w:rPr>
            <w:noProof/>
            <w:webHidden/>
          </w:rPr>
          <w:fldChar w:fldCharType="end"/>
        </w:r>
      </w:hyperlink>
    </w:p>
    <w:p w14:paraId="667480E4" w14:textId="0CEE2CAA"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1" w:history="1">
        <w:r w:rsidR="00B70EC2" w:rsidRPr="00FE60E8">
          <w:rPr>
            <w:rStyle w:val="Hyperlink"/>
            <w:noProof/>
          </w:rPr>
          <w:t>Method of Reporting</w:t>
        </w:r>
        <w:r w:rsidR="00B70EC2">
          <w:rPr>
            <w:noProof/>
            <w:webHidden/>
          </w:rPr>
          <w:tab/>
        </w:r>
        <w:r w:rsidR="00B70EC2">
          <w:rPr>
            <w:noProof/>
            <w:webHidden/>
          </w:rPr>
          <w:fldChar w:fldCharType="begin"/>
        </w:r>
        <w:r w:rsidR="00B70EC2">
          <w:rPr>
            <w:noProof/>
            <w:webHidden/>
          </w:rPr>
          <w:instrText xml:space="preserve"> PAGEREF _Toc166149221 \h </w:instrText>
        </w:r>
        <w:r w:rsidR="00B70EC2">
          <w:rPr>
            <w:noProof/>
            <w:webHidden/>
          </w:rPr>
        </w:r>
        <w:r w:rsidR="00B70EC2">
          <w:rPr>
            <w:noProof/>
            <w:webHidden/>
          </w:rPr>
          <w:fldChar w:fldCharType="separate"/>
        </w:r>
        <w:r w:rsidR="00B70EC2">
          <w:rPr>
            <w:noProof/>
            <w:webHidden/>
          </w:rPr>
          <w:t>9</w:t>
        </w:r>
        <w:r w:rsidR="00B70EC2">
          <w:rPr>
            <w:noProof/>
            <w:webHidden/>
          </w:rPr>
          <w:fldChar w:fldCharType="end"/>
        </w:r>
      </w:hyperlink>
    </w:p>
    <w:p w14:paraId="1E81A6B0" w14:textId="32CC0878"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2" w:history="1">
        <w:r w:rsidR="00B70EC2" w:rsidRPr="00FE60E8">
          <w:rPr>
            <w:rStyle w:val="Hyperlink"/>
            <w:noProof/>
          </w:rPr>
          <w:t>Your Valuable Input</w:t>
        </w:r>
        <w:r w:rsidR="00B70EC2">
          <w:rPr>
            <w:noProof/>
            <w:webHidden/>
          </w:rPr>
          <w:tab/>
        </w:r>
        <w:r w:rsidR="00B70EC2">
          <w:rPr>
            <w:noProof/>
            <w:webHidden/>
          </w:rPr>
          <w:fldChar w:fldCharType="begin"/>
        </w:r>
        <w:r w:rsidR="00B70EC2">
          <w:rPr>
            <w:noProof/>
            <w:webHidden/>
          </w:rPr>
          <w:instrText xml:space="preserve"> PAGEREF _Toc166149222 \h </w:instrText>
        </w:r>
        <w:r w:rsidR="00B70EC2">
          <w:rPr>
            <w:noProof/>
            <w:webHidden/>
          </w:rPr>
        </w:r>
        <w:r w:rsidR="00B70EC2">
          <w:rPr>
            <w:noProof/>
            <w:webHidden/>
          </w:rPr>
          <w:fldChar w:fldCharType="separate"/>
        </w:r>
        <w:r w:rsidR="00B70EC2">
          <w:rPr>
            <w:noProof/>
            <w:webHidden/>
          </w:rPr>
          <w:t>11</w:t>
        </w:r>
        <w:r w:rsidR="00B70EC2">
          <w:rPr>
            <w:noProof/>
            <w:webHidden/>
          </w:rPr>
          <w:fldChar w:fldCharType="end"/>
        </w:r>
      </w:hyperlink>
    </w:p>
    <w:p w14:paraId="6EE46B14" w14:textId="3C1BC55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23" w:history="1">
        <w:r w:rsidR="00B70EC2" w:rsidRPr="00FE60E8">
          <w:rPr>
            <w:rStyle w:val="Hyperlink"/>
            <w:noProof/>
          </w:rPr>
          <w:t>Section 1.4 AGENCY TRAINING</w:t>
        </w:r>
        <w:r w:rsidR="00B70EC2">
          <w:rPr>
            <w:noProof/>
            <w:webHidden/>
          </w:rPr>
          <w:tab/>
        </w:r>
        <w:r w:rsidR="00B70EC2">
          <w:rPr>
            <w:noProof/>
            <w:webHidden/>
          </w:rPr>
          <w:fldChar w:fldCharType="begin"/>
        </w:r>
        <w:r w:rsidR="00B70EC2">
          <w:rPr>
            <w:noProof/>
            <w:webHidden/>
          </w:rPr>
          <w:instrText xml:space="preserve"> PAGEREF _Toc166149223 \h </w:instrText>
        </w:r>
        <w:r w:rsidR="00B70EC2">
          <w:rPr>
            <w:noProof/>
            <w:webHidden/>
          </w:rPr>
        </w:r>
        <w:r w:rsidR="00B70EC2">
          <w:rPr>
            <w:noProof/>
            <w:webHidden/>
          </w:rPr>
          <w:fldChar w:fldCharType="separate"/>
        </w:r>
        <w:r w:rsidR="00B70EC2">
          <w:rPr>
            <w:noProof/>
            <w:webHidden/>
          </w:rPr>
          <w:t>12</w:t>
        </w:r>
        <w:r w:rsidR="00B70EC2">
          <w:rPr>
            <w:noProof/>
            <w:webHidden/>
          </w:rPr>
          <w:fldChar w:fldCharType="end"/>
        </w:r>
      </w:hyperlink>
    </w:p>
    <w:p w14:paraId="4BECC07F" w14:textId="41C7F62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4" w:history="1">
        <w:r w:rsidR="00B70EC2" w:rsidRPr="00FE60E8">
          <w:rPr>
            <w:rStyle w:val="Hyperlink"/>
            <w:noProof/>
          </w:rPr>
          <w:t>Objectives of Training and Training Philosophy</w:t>
        </w:r>
        <w:r w:rsidR="00B70EC2">
          <w:rPr>
            <w:noProof/>
            <w:webHidden/>
          </w:rPr>
          <w:tab/>
        </w:r>
        <w:r w:rsidR="00B70EC2">
          <w:rPr>
            <w:noProof/>
            <w:webHidden/>
          </w:rPr>
          <w:fldChar w:fldCharType="begin"/>
        </w:r>
        <w:r w:rsidR="00B70EC2">
          <w:rPr>
            <w:noProof/>
            <w:webHidden/>
          </w:rPr>
          <w:instrText xml:space="preserve"> PAGEREF _Toc166149224 \h </w:instrText>
        </w:r>
        <w:r w:rsidR="00B70EC2">
          <w:rPr>
            <w:noProof/>
            <w:webHidden/>
          </w:rPr>
        </w:r>
        <w:r w:rsidR="00B70EC2">
          <w:rPr>
            <w:noProof/>
            <w:webHidden/>
          </w:rPr>
          <w:fldChar w:fldCharType="separate"/>
        </w:r>
        <w:r w:rsidR="00B70EC2">
          <w:rPr>
            <w:noProof/>
            <w:webHidden/>
          </w:rPr>
          <w:t>12</w:t>
        </w:r>
        <w:r w:rsidR="00B70EC2">
          <w:rPr>
            <w:noProof/>
            <w:webHidden/>
          </w:rPr>
          <w:fldChar w:fldCharType="end"/>
        </w:r>
      </w:hyperlink>
    </w:p>
    <w:p w14:paraId="54A1A712" w14:textId="316DBF3B"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5" w:history="1">
        <w:r w:rsidR="00B70EC2" w:rsidRPr="00FE60E8">
          <w:rPr>
            <w:rStyle w:val="Hyperlink"/>
            <w:noProof/>
          </w:rPr>
          <w:t>The Comptroller General’s Office Reporting Package Training</w:t>
        </w:r>
        <w:r w:rsidR="00B70EC2">
          <w:rPr>
            <w:noProof/>
            <w:webHidden/>
          </w:rPr>
          <w:tab/>
        </w:r>
        <w:r w:rsidR="00B70EC2">
          <w:rPr>
            <w:noProof/>
            <w:webHidden/>
          </w:rPr>
          <w:fldChar w:fldCharType="begin"/>
        </w:r>
        <w:r w:rsidR="00B70EC2">
          <w:rPr>
            <w:noProof/>
            <w:webHidden/>
          </w:rPr>
          <w:instrText xml:space="preserve"> PAGEREF _Toc166149225 \h </w:instrText>
        </w:r>
        <w:r w:rsidR="00B70EC2">
          <w:rPr>
            <w:noProof/>
            <w:webHidden/>
          </w:rPr>
        </w:r>
        <w:r w:rsidR="00B70EC2">
          <w:rPr>
            <w:noProof/>
            <w:webHidden/>
          </w:rPr>
          <w:fldChar w:fldCharType="separate"/>
        </w:r>
        <w:r w:rsidR="00B70EC2">
          <w:rPr>
            <w:noProof/>
            <w:webHidden/>
          </w:rPr>
          <w:t>12</w:t>
        </w:r>
        <w:r w:rsidR="00B70EC2">
          <w:rPr>
            <w:noProof/>
            <w:webHidden/>
          </w:rPr>
          <w:fldChar w:fldCharType="end"/>
        </w:r>
      </w:hyperlink>
    </w:p>
    <w:p w14:paraId="58933CB2" w14:textId="402640B0"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26" w:history="1">
        <w:r w:rsidR="00B70EC2" w:rsidRPr="00FE60E8">
          <w:rPr>
            <w:rStyle w:val="Hyperlink"/>
            <w:noProof/>
          </w:rPr>
          <w:t>Section 1.5 REPORTING PACKAGE DUE DATES</w:t>
        </w:r>
        <w:r w:rsidR="00B70EC2">
          <w:rPr>
            <w:noProof/>
            <w:webHidden/>
          </w:rPr>
          <w:tab/>
        </w:r>
        <w:r w:rsidR="00B70EC2">
          <w:rPr>
            <w:noProof/>
            <w:webHidden/>
          </w:rPr>
          <w:fldChar w:fldCharType="begin"/>
        </w:r>
        <w:r w:rsidR="00B70EC2">
          <w:rPr>
            <w:noProof/>
            <w:webHidden/>
          </w:rPr>
          <w:instrText xml:space="preserve"> PAGEREF _Toc166149226 \h </w:instrText>
        </w:r>
        <w:r w:rsidR="00B70EC2">
          <w:rPr>
            <w:noProof/>
            <w:webHidden/>
          </w:rPr>
        </w:r>
        <w:r w:rsidR="00B70EC2">
          <w:rPr>
            <w:noProof/>
            <w:webHidden/>
          </w:rPr>
          <w:fldChar w:fldCharType="separate"/>
        </w:r>
        <w:r w:rsidR="00B70EC2">
          <w:rPr>
            <w:noProof/>
            <w:webHidden/>
          </w:rPr>
          <w:t>14</w:t>
        </w:r>
        <w:r w:rsidR="00B70EC2">
          <w:rPr>
            <w:noProof/>
            <w:webHidden/>
          </w:rPr>
          <w:fldChar w:fldCharType="end"/>
        </w:r>
      </w:hyperlink>
    </w:p>
    <w:p w14:paraId="238C6CBB" w14:textId="4199A56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27" w:history="1">
        <w:r w:rsidR="00B70EC2" w:rsidRPr="00FE60E8">
          <w:rPr>
            <w:rStyle w:val="Hyperlink"/>
            <w:noProof/>
          </w:rPr>
          <w:t>Section 1.6 AN OVERVIEW OF THE YEAR-END REPORTING PROCESS</w:t>
        </w:r>
        <w:r w:rsidR="00B70EC2">
          <w:rPr>
            <w:noProof/>
            <w:webHidden/>
          </w:rPr>
          <w:tab/>
        </w:r>
        <w:r w:rsidR="00B70EC2">
          <w:rPr>
            <w:noProof/>
            <w:webHidden/>
          </w:rPr>
          <w:fldChar w:fldCharType="begin"/>
        </w:r>
        <w:r w:rsidR="00B70EC2">
          <w:rPr>
            <w:noProof/>
            <w:webHidden/>
          </w:rPr>
          <w:instrText xml:space="preserve"> PAGEREF _Toc166149227 \h </w:instrText>
        </w:r>
        <w:r w:rsidR="00B70EC2">
          <w:rPr>
            <w:noProof/>
            <w:webHidden/>
          </w:rPr>
        </w:r>
        <w:r w:rsidR="00B70EC2">
          <w:rPr>
            <w:noProof/>
            <w:webHidden/>
          </w:rPr>
          <w:fldChar w:fldCharType="separate"/>
        </w:r>
        <w:r w:rsidR="00B70EC2">
          <w:rPr>
            <w:noProof/>
            <w:webHidden/>
          </w:rPr>
          <w:t>15</w:t>
        </w:r>
        <w:r w:rsidR="00B70EC2">
          <w:rPr>
            <w:noProof/>
            <w:webHidden/>
          </w:rPr>
          <w:fldChar w:fldCharType="end"/>
        </w:r>
      </w:hyperlink>
    </w:p>
    <w:p w14:paraId="5D340345" w14:textId="34BCF959"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8" w:history="1">
        <w:r w:rsidR="00B70EC2" w:rsidRPr="00FE60E8">
          <w:rPr>
            <w:rStyle w:val="Hyperlink"/>
            <w:noProof/>
          </w:rPr>
          <w:t>What Role Does SCEIS play in the Year-End Reporting Process?</w:t>
        </w:r>
        <w:r w:rsidR="00B70EC2">
          <w:rPr>
            <w:noProof/>
            <w:webHidden/>
          </w:rPr>
          <w:tab/>
        </w:r>
        <w:r w:rsidR="00B70EC2">
          <w:rPr>
            <w:noProof/>
            <w:webHidden/>
          </w:rPr>
          <w:fldChar w:fldCharType="begin"/>
        </w:r>
        <w:r w:rsidR="00B70EC2">
          <w:rPr>
            <w:noProof/>
            <w:webHidden/>
          </w:rPr>
          <w:instrText xml:space="preserve"> PAGEREF _Toc166149228 \h </w:instrText>
        </w:r>
        <w:r w:rsidR="00B70EC2">
          <w:rPr>
            <w:noProof/>
            <w:webHidden/>
          </w:rPr>
        </w:r>
        <w:r w:rsidR="00B70EC2">
          <w:rPr>
            <w:noProof/>
            <w:webHidden/>
          </w:rPr>
          <w:fldChar w:fldCharType="separate"/>
        </w:r>
        <w:r w:rsidR="00B70EC2">
          <w:rPr>
            <w:noProof/>
            <w:webHidden/>
          </w:rPr>
          <w:t>15</w:t>
        </w:r>
        <w:r w:rsidR="00B70EC2">
          <w:rPr>
            <w:noProof/>
            <w:webHidden/>
          </w:rPr>
          <w:fldChar w:fldCharType="end"/>
        </w:r>
      </w:hyperlink>
    </w:p>
    <w:p w14:paraId="2F6E56E4" w14:textId="56BE09F1"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29" w:history="1">
        <w:r w:rsidR="00B70EC2" w:rsidRPr="00FE60E8">
          <w:rPr>
            <w:rStyle w:val="Hyperlink"/>
            <w:noProof/>
          </w:rPr>
          <w:t>The Importance of Timeliness in Financial Reporting</w:t>
        </w:r>
        <w:r w:rsidR="00B70EC2">
          <w:rPr>
            <w:noProof/>
            <w:webHidden/>
          </w:rPr>
          <w:tab/>
        </w:r>
        <w:r w:rsidR="00B70EC2">
          <w:rPr>
            <w:noProof/>
            <w:webHidden/>
          </w:rPr>
          <w:fldChar w:fldCharType="begin"/>
        </w:r>
        <w:r w:rsidR="00B70EC2">
          <w:rPr>
            <w:noProof/>
            <w:webHidden/>
          </w:rPr>
          <w:instrText xml:space="preserve"> PAGEREF _Toc166149229 \h </w:instrText>
        </w:r>
        <w:r w:rsidR="00B70EC2">
          <w:rPr>
            <w:noProof/>
            <w:webHidden/>
          </w:rPr>
        </w:r>
        <w:r w:rsidR="00B70EC2">
          <w:rPr>
            <w:noProof/>
            <w:webHidden/>
          </w:rPr>
          <w:fldChar w:fldCharType="separate"/>
        </w:r>
        <w:r w:rsidR="00B70EC2">
          <w:rPr>
            <w:noProof/>
            <w:webHidden/>
          </w:rPr>
          <w:t>15</w:t>
        </w:r>
        <w:r w:rsidR="00B70EC2">
          <w:rPr>
            <w:noProof/>
            <w:webHidden/>
          </w:rPr>
          <w:fldChar w:fldCharType="end"/>
        </w:r>
      </w:hyperlink>
    </w:p>
    <w:p w14:paraId="37084717" w14:textId="4BCC9E0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0" w:history="1">
        <w:r w:rsidR="00B70EC2" w:rsidRPr="00FE60E8">
          <w:rPr>
            <w:rStyle w:val="Hyperlink"/>
            <w:noProof/>
          </w:rPr>
          <w:t>The Year-End Process—Agencies</w:t>
        </w:r>
        <w:r w:rsidR="00B70EC2">
          <w:rPr>
            <w:noProof/>
            <w:webHidden/>
          </w:rPr>
          <w:tab/>
        </w:r>
        <w:r w:rsidR="00B70EC2">
          <w:rPr>
            <w:noProof/>
            <w:webHidden/>
          </w:rPr>
          <w:fldChar w:fldCharType="begin"/>
        </w:r>
        <w:r w:rsidR="00B70EC2">
          <w:rPr>
            <w:noProof/>
            <w:webHidden/>
          </w:rPr>
          <w:instrText xml:space="preserve"> PAGEREF _Toc166149230 \h </w:instrText>
        </w:r>
        <w:r w:rsidR="00B70EC2">
          <w:rPr>
            <w:noProof/>
            <w:webHidden/>
          </w:rPr>
        </w:r>
        <w:r w:rsidR="00B70EC2">
          <w:rPr>
            <w:noProof/>
            <w:webHidden/>
          </w:rPr>
          <w:fldChar w:fldCharType="separate"/>
        </w:r>
        <w:r w:rsidR="00B70EC2">
          <w:rPr>
            <w:noProof/>
            <w:webHidden/>
          </w:rPr>
          <w:t>15</w:t>
        </w:r>
        <w:r w:rsidR="00B70EC2">
          <w:rPr>
            <w:noProof/>
            <w:webHidden/>
          </w:rPr>
          <w:fldChar w:fldCharType="end"/>
        </w:r>
      </w:hyperlink>
    </w:p>
    <w:p w14:paraId="539C0429" w14:textId="5A9767A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1" w:history="1">
        <w:r w:rsidR="00B70EC2" w:rsidRPr="00FE60E8">
          <w:rPr>
            <w:rStyle w:val="Hyperlink"/>
            <w:noProof/>
          </w:rPr>
          <w:t>The Year-end Reporting Process—Comptroller General’s Office</w:t>
        </w:r>
        <w:r w:rsidR="00B70EC2">
          <w:rPr>
            <w:noProof/>
            <w:webHidden/>
          </w:rPr>
          <w:tab/>
        </w:r>
        <w:r w:rsidR="00B70EC2">
          <w:rPr>
            <w:noProof/>
            <w:webHidden/>
          </w:rPr>
          <w:fldChar w:fldCharType="begin"/>
        </w:r>
        <w:r w:rsidR="00B70EC2">
          <w:rPr>
            <w:noProof/>
            <w:webHidden/>
          </w:rPr>
          <w:instrText xml:space="preserve"> PAGEREF _Toc166149231 \h </w:instrText>
        </w:r>
        <w:r w:rsidR="00B70EC2">
          <w:rPr>
            <w:noProof/>
            <w:webHidden/>
          </w:rPr>
        </w:r>
        <w:r w:rsidR="00B70EC2">
          <w:rPr>
            <w:noProof/>
            <w:webHidden/>
          </w:rPr>
          <w:fldChar w:fldCharType="separate"/>
        </w:r>
        <w:r w:rsidR="00B70EC2">
          <w:rPr>
            <w:noProof/>
            <w:webHidden/>
          </w:rPr>
          <w:t>16</w:t>
        </w:r>
        <w:r w:rsidR="00B70EC2">
          <w:rPr>
            <w:noProof/>
            <w:webHidden/>
          </w:rPr>
          <w:fldChar w:fldCharType="end"/>
        </w:r>
      </w:hyperlink>
    </w:p>
    <w:p w14:paraId="23588BB0" w14:textId="3CB8F32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2" w:history="1">
        <w:r w:rsidR="00B70EC2" w:rsidRPr="00FE60E8">
          <w:rPr>
            <w:rStyle w:val="Hyperlink"/>
            <w:noProof/>
          </w:rPr>
          <w:t>Audit of the State’s ACFR</w:t>
        </w:r>
        <w:r w:rsidR="00B70EC2">
          <w:rPr>
            <w:noProof/>
            <w:webHidden/>
          </w:rPr>
          <w:tab/>
        </w:r>
        <w:r w:rsidR="00B70EC2">
          <w:rPr>
            <w:noProof/>
            <w:webHidden/>
          </w:rPr>
          <w:fldChar w:fldCharType="begin"/>
        </w:r>
        <w:r w:rsidR="00B70EC2">
          <w:rPr>
            <w:noProof/>
            <w:webHidden/>
          </w:rPr>
          <w:instrText xml:space="preserve"> PAGEREF _Toc166149232 \h </w:instrText>
        </w:r>
        <w:r w:rsidR="00B70EC2">
          <w:rPr>
            <w:noProof/>
            <w:webHidden/>
          </w:rPr>
        </w:r>
        <w:r w:rsidR="00B70EC2">
          <w:rPr>
            <w:noProof/>
            <w:webHidden/>
          </w:rPr>
          <w:fldChar w:fldCharType="separate"/>
        </w:r>
        <w:r w:rsidR="00B70EC2">
          <w:rPr>
            <w:noProof/>
            <w:webHidden/>
          </w:rPr>
          <w:t>16</w:t>
        </w:r>
        <w:r w:rsidR="00B70EC2">
          <w:rPr>
            <w:noProof/>
            <w:webHidden/>
          </w:rPr>
          <w:fldChar w:fldCharType="end"/>
        </w:r>
      </w:hyperlink>
    </w:p>
    <w:p w14:paraId="16F39CE8" w14:textId="5BB1A2D7"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33" w:history="1">
        <w:r w:rsidR="00B70EC2" w:rsidRPr="00FE60E8">
          <w:rPr>
            <w:rStyle w:val="Hyperlink"/>
            <w:noProof/>
          </w:rPr>
          <w:t>Section 1.7 SUMMARY OF AGENCY RESPONSIBILITIES</w:t>
        </w:r>
        <w:r w:rsidR="00B70EC2">
          <w:rPr>
            <w:noProof/>
            <w:webHidden/>
          </w:rPr>
          <w:tab/>
        </w:r>
        <w:r w:rsidR="00B70EC2">
          <w:rPr>
            <w:noProof/>
            <w:webHidden/>
          </w:rPr>
          <w:fldChar w:fldCharType="begin"/>
        </w:r>
        <w:r w:rsidR="00B70EC2">
          <w:rPr>
            <w:noProof/>
            <w:webHidden/>
          </w:rPr>
          <w:instrText xml:space="preserve"> PAGEREF _Toc166149233 \h </w:instrText>
        </w:r>
        <w:r w:rsidR="00B70EC2">
          <w:rPr>
            <w:noProof/>
            <w:webHidden/>
          </w:rPr>
        </w:r>
        <w:r w:rsidR="00B70EC2">
          <w:rPr>
            <w:noProof/>
            <w:webHidden/>
          </w:rPr>
          <w:fldChar w:fldCharType="separate"/>
        </w:r>
        <w:r w:rsidR="00B70EC2">
          <w:rPr>
            <w:noProof/>
            <w:webHidden/>
          </w:rPr>
          <w:t>17</w:t>
        </w:r>
        <w:r w:rsidR="00B70EC2">
          <w:rPr>
            <w:noProof/>
            <w:webHidden/>
          </w:rPr>
          <w:fldChar w:fldCharType="end"/>
        </w:r>
      </w:hyperlink>
    </w:p>
    <w:p w14:paraId="1AD72C14" w14:textId="18C45295"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4" w:history="1">
        <w:r w:rsidR="00B70EC2" w:rsidRPr="00FE60E8">
          <w:rPr>
            <w:rStyle w:val="Hyperlink"/>
            <w:noProof/>
          </w:rPr>
          <w:t>General Responsibilities</w:t>
        </w:r>
        <w:r w:rsidR="00B70EC2">
          <w:rPr>
            <w:noProof/>
            <w:webHidden/>
          </w:rPr>
          <w:tab/>
        </w:r>
        <w:r w:rsidR="00B70EC2">
          <w:rPr>
            <w:noProof/>
            <w:webHidden/>
          </w:rPr>
          <w:fldChar w:fldCharType="begin"/>
        </w:r>
        <w:r w:rsidR="00B70EC2">
          <w:rPr>
            <w:noProof/>
            <w:webHidden/>
          </w:rPr>
          <w:instrText xml:space="preserve"> PAGEREF _Toc166149234 \h </w:instrText>
        </w:r>
        <w:r w:rsidR="00B70EC2">
          <w:rPr>
            <w:noProof/>
            <w:webHidden/>
          </w:rPr>
        </w:r>
        <w:r w:rsidR="00B70EC2">
          <w:rPr>
            <w:noProof/>
            <w:webHidden/>
          </w:rPr>
          <w:fldChar w:fldCharType="separate"/>
        </w:r>
        <w:r w:rsidR="00B70EC2">
          <w:rPr>
            <w:noProof/>
            <w:webHidden/>
          </w:rPr>
          <w:t>17</w:t>
        </w:r>
        <w:r w:rsidR="00B70EC2">
          <w:rPr>
            <w:noProof/>
            <w:webHidden/>
          </w:rPr>
          <w:fldChar w:fldCharType="end"/>
        </w:r>
      </w:hyperlink>
    </w:p>
    <w:p w14:paraId="4BC2ACCB" w14:textId="00C626F9"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5" w:history="1">
        <w:r w:rsidR="00B70EC2" w:rsidRPr="00FE60E8">
          <w:rPr>
            <w:rStyle w:val="Hyperlink"/>
            <w:noProof/>
          </w:rPr>
          <w:t>Objective:  Error-Free Reporting Packages</w:t>
        </w:r>
        <w:r w:rsidR="00B70EC2">
          <w:rPr>
            <w:noProof/>
            <w:webHidden/>
          </w:rPr>
          <w:tab/>
        </w:r>
        <w:r w:rsidR="00B70EC2">
          <w:rPr>
            <w:noProof/>
            <w:webHidden/>
          </w:rPr>
          <w:fldChar w:fldCharType="begin"/>
        </w:r>
        <w:r w:rsidR="00B70EC2">
          <w:rPr>
            <w:noProof/>
            <w:webHidden/>
          </w:rPr>
          <w:instrText xml:space="preserve"> PAGEREF _Toc166149235 \h </w:instrText>
        </w:r>
        <w:r w:rsidR="00B70EC2">
          <w:rPr>
            <w:noProof/>
            <w:webHidden/>
          </w:rPr>
        </w:r>
        <w:r w:rsidR="00B70EC2">
          <w:rPr>
            <w:noProof/>
            <w:webHidden/>
          </w:rPr>
          <w:fldChar w:fldCharType="separate"/>
        </w:r>
        <w:r w:rsidR="00B70EC2">
          <w:rPr>
            <w:noProof/>
            <w:webHidden/>
          </w:rPr>
          <w:t>17</w:t>
        </w:r>
        <w:r w:rsidR="00B70EC2">
          <w:rPr>
            <w:noProof/>
            <w:webHidden/>
          </w:rPr>
          <w:fldChar w:fldCharType="end"/>
        </w:r>
      </w:hyperlink>
    </w:p>
    <w:p w14:paraId="066BC410" w14:textId="4CD5F4E7"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6" w:history="1">
        <w:r w:rsidR="00B70EC2" w:rsidRPr="00FE60E8">
          <w:rPr>
            <w:rStyle w:val="Hyperlink"/>
            <w:noProof/>
          </w:rPr>
          <w:t>Objective:  No Late Reporting Packages</w:t>
        </w:r>
        <w:r w:rsidR="00B70EC2">
          <w:rPr>
            <w:noProof/>
            <w:webHidden/>
          </w:rPr>
          <w:tab/>
        </w:r>
        <w:r w:rsidR="00B70EC2">
          <w:rPr>
            <w:noProof/>
            <w:webHidden/>
          </w:rPr>
          <w:fldChar w:fldCharType="begin"/>
        </w:r>
        <w:r w:rsidR="00B70EC2">
          <w:rPr>
            <w:noProof/>
            <w:webHidden/>
          </w:rPr>
          <w:instrText xml:space="preserve"> PAGEREF _Toc166149236 \h </w:instrText>
        </w:r>
        <w:r w:rsidR="00B70EC2">
          <w:rPr>
            <w:noProof/>
            <w:webHidden/>
          </w:rPr>
        </w:r>
        <w:r w:rsidR="00B70EC2">
          <w:rPr>
            <w:noProof/>
            <w:webHidden/>
          </w:rPr>
          <w:fldChar w:fldCharType="separate"/>
        </w:r>
        <w:r w:rsidR="00B70EC2">
          <w:rPr>
            <w:noProof/>
            <w:webHidden/>
          </w:rPr>
          <w:t>19</w:t>
        </w:r>
        <w:r w:rsidR="00B70EC2">
          <w:rPr>
            <w:noProof/>
            <w:webHidden/>
          </w:rPr>
          <w:fldChar w:fldCharType="end"/>
        </w:r>
      </w:hyperlink>
    </w:p>
    <w:p w14:paraId="6F4D44E5" w14:textId="70F4D36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7" w:history="1">
        <w:r w:rsidR="00B70EC2" w:rsidRPr="00FE60E8">
          <w:rPr>
            <w:rStyle w:val="Hyperlink"/>
            <w:noProof/>
          </w:rPr>
          <w:t>Objective:  Responsive and Efficient Audit Process</w:t>
        </w:r>
        <w:r w:rsidR="00B70EC2">
          <w:rPr>
            <w:noProof/>
            <w:webHidden/>
          </w:rPr>
          <w:tab/>
        </w:r>
        <w:r w:rsidR="00B70EC2">
          <w:rPr>
            <w:noProof/>
            <w:webHidden/>
          </w:rPr>
          <w:fldChar w:fldCharType="begin"/>
        </w:r>
        <w:r w:rsidR="00B70EC2">
          <w:rPr>
            <w:noProof/>
            <w:webHidden/>
          </w:rPr>
          <w:instrText xml:space="preserve"> PAGEREF _Toc166149237 \h </w:instrText>
        </w:r>
        <w:r w:rsidR="00B70EC2">
          <w:rPr>
            <w:noProof/>
            <w:webHidden/>
          </w:rPr>
        </w:r>
        <w:r w:rsidR="00B70EC2">
          <w:rPr>
            <w:noProof/>
            <w:webHidden/>
          </w:rPr>
          <w:fldChar w:fldCharType="separate"/>
        </w:r>
        <w:r w:rsidR="00B70EC2">
          <w:rPr>
            <w:noProof/>
            <w:webHidden/>
          </w:rPr>
          <w:t>19</w:t>
        </w:r>
        <w:r w:rsidR="00B70EC2">
          <w:rPr>
            <w:noProof/>
            <w:webHidden/>
          </w:rPr>
          <w:fldChar w:fldCharType="end"/>
        </w:r>
      </w:hyperlink>
    </w:p>
    <w:p w14:paraId="0258F00B" w14:textId="65B32B8A"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38" w:history="1">
        <w:r w:rsidR="00B70EC2" w:rsidRPr="00FE60E8">
          <w:rPr>
            <w:rStyle w:val="Hyperlink"/>
            <w:noProof/>
          </w:rPr>
          <w:t>Section 1.8 SCEIS OVERVIEW</w:t>
        </w:r>
        <w:r w:rsidR="00B70EC2">
          <w:rPr>
            <w:noProof/>
            <w:webHidden/>
          </w:rPr>
          <w:tab/>
        </w:r>
        <w:r w:rsidR="00B70EC2">
          <w:rPr>
            <w:noProof/>
            <w:webHidden/>
          </w:rPr>
          <w:fldChar w:fldCharType="begin"/>
        </w:r>
        <w:r w:rsidR="00B70EC2">
          <w:rPr>
            <w:noProof/>
            <w:webHidden/>
          </w:rPr>
          <w:instrText xml:space="preserve"> PAGEREF _Toc166149238 \h </w:instrText>
        </w:r>
        <w:r w:rsidR="00B70EC2">
          <w:rPr>
            <w:noProof/>
            <w:webHidden/>
          </w:rPr>
        </w:r>
        <w:r w:rsidR="00B70EC2">
          <w:rPr>
            <w:noProof/>
            <w:webHidden/>
          </w:rPr>
          <w:fldChar w:fldCharType="separate"/>
        </w:r>
        <w:r w:rsidR="00B70EC2">
          <w:rPr>
            <w:noProof/>
            <w:webHidden/>
          </w:rPr>
          <w:t>19</w:t>
        </w:r>
        <w:r w:rsidR="00B70EC2">
          <w:rPr>
            <w:noProof/>
            <w:webHidden/>
          </w:rPr>
          <w:fldChar w:fldCharType="end"/>
        </w:r>
      </w:hyperlink>
    </w:p>
    <w:p w14:paraId="28FD8A5F" w14:textId="428BD29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39" w:history="1">
        <w:r w:rsidR="00B70EC2" w:rsidRPr="00FE60E8">
          <w:rPr>
            <w:rStyle w:val="Hyperlink"/>
            <w:noProof/>
          </w:rPr>
          <w:t>Use of Funds</w:t>
        </w:r>
        <w:r w:rsidR="00B70EC2">
          <w:rPr>
            <w:noProof/>
            <w:webHidden/>
          </w:rPr>
          <w:tab/>
        </w:r>
        <w:r w:rsidR="00B70EC2">
          <w:rPr>
            <w:noProof/>
            <w:webHidden/>
          </w:rPr>
          <w:fldChar w:fldCharType="begin"/>
        </w:r>
        <w:r w:rsidR="00B70EC2">
          <w:rPr>
            <w:noProof/>
            <w:webHidden/>
          </w:rPr>
          <w:instrText xml:space="preserve"> PAGEREF _Toc166149239 \h </w:instrText>
        </w:r>
        <w:r w:rsidR="00B70EC2">
          <w:rPr>
            <w:noProof/>
            <w:webHidden/>
          </w:rPr>
        </w:r>
        <w:r w:rsidR="00B70EC2">
          <w:rPr>
            <w:noProof/>
            <w:webHidden/>
          </w:rPr>
          <w:fldChar w:fldCharType="separate"/>
        </w:r>
        <w:r w:rsidR="00B70EC2">
          <w:rPr>
            <w:noProof/>
            <w:webHidden/>
          </w:rPr>
          <w:t>20</w:t>
        </w:r>
        <w:r w:rsidR="00B70EC2">
          <w:rPr>
            <w:noProof/>
            <w:webHidden/>
          </w:rPr>
          <w:fldChar w:fldCharType="end"/>
        </w:r>
      </w:hyperlink>
    </w:p>
    <w:p w14:paraId="21B23715" w14:textId="45DC2DE5"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40" w:history="1">
        <w:r w:rsidR="00B70EC2" w:rsidRPr="00FE60E8">
          <w:rPr>
            <w:rStyle w:val="Hyperlink"/>
            <w:noProof/>
          </w:rPr>
          <w:t>Report Fund Categories</w:t>
        </w:r>
        <w:r w:rsidR="00B70EC2">
          <w:rPr>
            <w:noProof/>
            <w:webHidden/>
          </w:rPr>
          <w:tab/>
        </w:r>
        <w:r w:rsidR="00B70EC2">
          <w:rPr>
            <w:noProof/>
            <w:webHidden/>
          </w:rPr>
          <w:fldChar w:fldCharType="begin"/>
        </w:r>
        <w:r w:rsidR="00B70EC2">
          <w:rPr>
            <w:noProof/>
            <w:webHidden/>
          </w:rPr>
          <w:instrText xml:space="preserve"> PAGEREF _Toc166149240 \h </w:instrText>
        </w:r>
        <w:r w:rsidR="00B70EC2">
          <w:rPr>
            <w:noProof/>
            <w:webHidden/>
          </w:rPr>
        </w:r>
        <w:r w:rsidR="00B70EC2">
          <w:rPr>
            <w:noProof/>
            <w:webHidden/>
          </w:rPr>
          <w:fldChar w:fldCharType="separate"/>
        </w:r>
        <w:r w:rsidR="00B70EC2">
          <w:rPr>
            <w:noProof/>
            <w:webHidden/>
          </w:rPr>
          <w:t>20</w:t>
        </w:r>
        <w:r w:rsidR="00B70EC2">
          <w:rPr>
            <w:noProof/>
            <w:webHidden/>
          </w:rPr>
          <w:fldChar w:fldCharType="end"/>
        </w:r>
      </w:hyperlink>
    </w:p>
    <w:p w14:paraId="4CF7DF91" w14:textId="316D8DBB"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241" w:history="1">
        <w:r w:rsidR="00B70EC2" w:rsidRPr="00FE60E8">
          <w:rPr>
            <w:rStyle w:val="Hyperlink"/>
            <w:noProof/>
          </w:rPr>
          <w:t>PART II MASTER REPORTING PACKAGE CHECKLIST</w:t>
        </w:r>
        <w:r w:rsidR="00B70EC2">
          <w:rPr>
            <w:noProof/>
            <w:webHidden/>
          </w:rPr>
          <w:tab/>
        </w:r>
        <w:r w:rsidR="00B70EC2">
          <w:rPr>
            <w:noProof/>
            <w:webHidden/>
          </w:rPr>
          <w:fldChar w:fldCharType="begin"/>
        </w:r>
        <w:r w:rsidR="00B70EC2">
          <w:rPr>
            <w:noProof/>
            <w:webHidden/>
          </w:rPr>
          <w:instrText xml:space="preserve"> PAGEREF _Toc166149241 \h </w:instrText>
        </w:r>
        <w:r w:rsidR="00B70EC2">
          <w:rPr>
            <w:noProof/>
            <w:webHidden/>
          </w:rPr>
        </w:r>
        <w:r w:rsidR="00B70EC2">
          <w:rPr>
            <w:noProof/>
            <w:webHidden/>
          </w:rPr>
          <w:fldChar w:fldCharType="separate"/>
        </w:r>
        <w:r w:rsidR="00B70EC2">
          <w:rPr>
            <w:noProof/>
            <w:webHidden/>
          </w:rPr>
          <w:t>20</w:t>
        </w:r>
        <w:r w:rsidR="00B70EC2">
          <w:rPr>
            <w:noProof/>
            <w:webHidden/>
          </w:rPr>
          <w:fldChar w:fldCharType="end"/>
        </w:r>
      </w:hyperlink>
    </w:p>
    <w:p w14:paraId="5C48ADB1" w14:textId="61BDD5F3"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42" w:history="1">
        <w:r w:rsidR="00B70EC2" w:rsidRPr="00FE60E8">
          <w:rPr>
            <w:rStyle w:val="Hyperlink"/>
            <w:noProof/>
          </w:rPr>
          <w:t>Conceptual Discussions</w:t>
        </w:r>
        <w:r w:rsidR="00B70EC2">
          <w:rPr>
            <w:noProof/>
            <w:webHidden/>
          </w:rPr>
          <w:tab/>
        </w:r>
        <w:r w:rsidR="00B70EC2">
          <w:rPr>
            <w:noProof/>
            <w:webHidden/>
          </w:rPr>
          <w:fldChar w:fldCharType="begin"/>
        </w:r>
        <w:r w:rsidR="00B70EC2">
          <w:rPr>
            <w:noProof/>
            <w:webHidden/>
          </w:rPr>
          <w:instrText xml:space="preserve"> PAGEREF _Toc166149242 \h </w:instrText>
        </w:r>
        <w:r w:rsidR="00B70EC2">
          <w:rPr>
            <w:noProof/>
            <w:webHidden/>
          </w:rPr>
        </w:r>
        <w:r w:rsidR="00B70EC2">
          <w:rPr>
            <w:noProof/>
            <w:webHidden/>
          </w:rPr>
          <w:fldChar w:fldCharType="separate"/>
        </w:r>
        <w:r w:rsidR="00B70EC2">
          <w:rPr>
            <w:noProof/>
            <w:webHidden/>
          </w:rPr>
          <w:t>20</w:t>
        </w:r>
        <w:r w:rsidR="00B70EC2">
          <w:rPr>
            <w:noProof/>
            <w:webHidden/>
          </w:rPr>
          <w:fldChar w:fldCharType="end"/>
        </w:r>
      </w:hyperlink>
    </w:p>
    <w:p w14:paraId="6B3C4E58" w14:textId="545D4268"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43" w:history="1">
        <w:r w:rsidR="00B70EC2" w:rsidRPr="00FE60E8">
          <w:rPr>
            <w:rStyle w:val="Hyperlink"/>
            <w:noProof/>
          </w:rPr>
          <w:t>Section 2.0 PRELIMINARY EVALUATION</w:t>
        </w:r>
        <w:r w:rsidR="00B70EC2">
          <w:rPr>
            <w:noProof/>
            <w:webHidden/>
          </w:rPr>
          <w:tab/>
        </w:r>
        <w:r w:rsidR="00B70EC2">
          <w:rPr>
            <w:noProof/>
            <w:webHidden/>
          </w:rPr>
          <w:fldChar w:fldCharType="begin"/>
        </w:r>
        <w:r w:rsidR="00B70EC2">
          <w:rPr>
            <w:noProof/>
            <w:webHidden/>
          </w:rPr>
          <w:instrText xml:space="preserve"> PAGEREF _Toc166149243 \h </w:instrText>
        </w:r>
        <w:r w:rsidR="00B70EC2">
          <w:rPr>
            <w:noProof/>
            <w:webHidden/>
          </w:rPr>
        </w:r>
        <w:r w:rsidR="00B70EC2">
          <w:rPr>
            <w:noProof/>
            <w:webHidden/>
          </w:rPr>
          <w:fldChar w:fldCharType="separate"/>
        </w:r>
        <w:r w:rsidR="00B70EC2">
          <w:rPr>
            <w:noProof/>
            <w:webHidden/>
          </w:rPr>
          <w:t>24</w:t>
        </w:r>
        <w:r w:rsidR="00B70EC2">
          <w:rPr>
            <w:noProof/>
            <w:webHidden/>
          </w:rPr>
          <w:fldChar w:fldCharType="end"/>
        </w:r>
      </w:hyperlink>
    </w:p>
    <w:p w14:paraId="03966728" w14:textId="7C9EC785"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44" w:history="1">
        <w:r w:rsidR="00B70EC2" w:rsidRPr="00FE60E8">
          <w:rPr>
            <w:rStyle w:val="Hyperlink"/>
            <w:noProof/>
          </w:rPr>
          <w:t>Section 2.1 FINAL EVALUATION</w:t>
        </w:r>
        <w:r w:rsidR="00B70EC2">
          <w:rPr>
            <w:noProof/>
            <w:webHidden/>
          </w:rPr>
          <w:tab/>
        </w:r>
        <w:r w:rsidR="00B70EC2">
          <w:rPr>
            <w:noProof/>
            <w:webHidden/>
          </w:rPr>
          <w:fldChar w:fldCharType="begin"/>
        </w:r>
        <w:r w:rsidR="00B70EC2">
          <w:rPr>
            <w:noProof/>
            <w:webHidden/>
          </w:rPr>
          <w:instrText xml:space="preserve"> PAGEREF _Toc166149244 \h </w:instrText>
        </w:r>
        <w:r w:rsidR="00B70EC2">
          <w:rPr>
            <w:noProof/>
            <w:webHidden/>
          </w:rPr>
        </w:r>
        <w:r w:rsidR="00B70EC2">
          <w:rPr>
            <w:noProof/>
            <w:webHidden/>
          </w:rPr>
          <w:fldChar w:fldCharType="separate"/>
        </w:r>
        <w:r w:rsidR="00B70EC2">
          <w:rPr>
            <w:noProof/>
            <w:webHidden/>
          </w:rPr>
          <w:t>25</w:t>
        </w:r>
        <w:r w:rsidR="00B70EC2">
          <w:rPr>
            <w:noProof/>
            <w:webHidden/>
          </w:rPr>
          <w:fldChar w:fldCharType="end"/>
        </w:r>
      </w:hyperlink>
    </w:p>
    <w:p w14:paraId="3C000D46" w14:textId="7EB0E32E"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245" w:history="1">
        <w:r w:rsidR="00B70EC2" w:rsidRPr="00FE60E8">
          <w:rPr>
            <w:rStyle w:val="Hyperlink"/>
            <w:noProof/>
          </w:rPr>
          <w:t>PART III FINANCIAL STATEMENT ELEMENTS</w:t>
        </w:r>
        <w:r w:rsidR="00B70EC2">
          <w:rPr>
            <w:noProof/>
            <w:webHidden/>
          </w:rPr>
          <w:tab/>
        </w:r>
        <w:r w:rsidR="00B70EC2">
          <w:rPr>
            <w:noProof/>
            <w:webHidden/>
          </w:rPr>
          <w:fldChar w:fldCharType="begin"/>
        </w:r>
        <w:r w:rsidR="00B70EC2">
          <w:rPr>
            <w:noProof/>
            <w:webHidden/>
          </w:rPr>
          <w:instrText xml:space="preserve"> PAGEREF _Toc166149245 \h </w:instrText>
        </w:r>
        <w:r w:rsidR="00B70EC2">
          <w:rPr>
            <w:noProof/>
            <w:webHidden/>
          </w:rPr>
        </w:r>
        <w:r w:rsidR="00B70EC2">
          <w:rPr>
            <w:noProof/>
            <w:webHidden/>
          </w:rPr>
          <w:fldChar w:fldCharType="separate"/>
        </w:r>
        <w:r w:rsidR="00B70EC2">
          <w:rPr>
            <w:noProof/>
            <w:webHidden/>
          </w:rPr>
          <w:t>27</w:t>
        </w:r>
        <w:r w:rsidR="00B70EC2">
          <w:rPr>
            <w:noProof/>
            <w:webHidden/>
          </w:rPr>
          <w:fldChar w:fldCharType="end"/>
        </w:r>
      </w:hyperlink>
    </w:p>
    <w:p w14:paraId="690A028E" w14:textId="792B5FD0"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46" w:history="1">
        <w:r w:rsidR="00B70EC2" w:rsidRPr="00FE60E8">
          <w:rPr>
            <w:rStyle w:val="Hyperlink"/>
            <w:noProof/>
          </w:rPr>
          <w:t>Section _.1 Cash and Investments</w:t>
        </w:r>
        <w:r w:rsidR="00B70EC2">
          <w:rPr>
            <w:noProof/>
            <w:webHidden/>
          </w:rPr>
          <w:tab/>
        </w:r>
        <w:r w:rsidR="00B70EC2">
          <w:rPr>
            <w:noProof/>
            <w:webHidden/>
          </w:rPr>
          <w:fldChar w:fldCharType="begin"/>
        </w:r>
        <w:r w:rsidR="00B70EC2">
          <w:rPr>
            <w:noProof/>
            <w:webHidden/>
          </w:rPr>
          <w:instrText xml:space="preserve"> PAGEREF _Toc166149246 \h </w:instrText>
        </w:r>
        <w:r w:rsidR="00B70EC2">
          <w:rPr>
            <w:noProof/>
            <w:webHidden/>
          </w:rPr>
        </w:r>
        <w:r w:rsidR="00B70EC2">
          <w:rPr>
            <w:noProof/>
            <w:webHidden/>
          </w:rPr>
          <w:fldChar w:fldCharType="separate"/>
        </w:r>
        <w:r w:rsidR="00B70EC2">
          <w:rPr>
            <w:noProof/>
            <w:webHidden/>
          </w:rPr>
          <w:t>27</w:t>
        </w:r>
        <w:r w:rsidR="00B70EC2">
          <w:rPr>
            <w:noProof/>
            <w:webHidden/>
          </w:rPr>
          <w:fldChar w:fldCharType="end"/>
        </w:r>
      </w:hyperlink>
    </w:p>
    <w:p w14:paraId="4010F068" w14:textId="2145D409"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47" w:history="1">
        <w:r w:rsidR="00B70EC2" w:rsidRPr="00FE60E8">
          <w:rPr>
            <w:rStyle w:val="Hyperlink"/>
            <w:noProof/>
          </w:rPr>
          <w:t>Section _.2 Tax Revenues</w:t>
        </w:r>
        <w:r w:rsidR="00B70EC2">
          <w:rPr>
            <w:noProof/>
            <w:webHidden/>
          </w:rPr>
          <w:tab/>
        </w:r>
        <w:r w:rsidR="00B70EC2">
          <w:rPr>
            <w:noProof/>
            <w:webHidden/>
          </w:rPr>
          <w:fldChar w:fldCharType="begin"/>
        </w:r>
        <w:r w:rsidR="00B70EC2">
          <w:rPr>
            <w:noProof/>
            <w:webHidden/>
          </w:rPr>
          <w:instrText xml:space="preserve"> PAGEREF _Toc166149247 \h </w:instrText>
        </w:r>
        <w:r w:rsidR="00B70EC2">
          <w:rPr>
            <w:noProof/>
            <w:webHidden/>
          </w:rPr>
        </w:r>
        <w:r w:rsidR="00B70EC2">
          <w:rPr>
            <w:noProof/>
            <w:webHidden/>
          </w:rPr>
          <w:fldChar w:fldCharType="separate"/>
        </w:r>
        <w:r w:rsidR="00B70EC2">
          <w:rPr>
            <w:noProof/>
            <w:webHidden/>
          </w:rPr>
          <w:t>27</w:t>
        </w:r>
        <w:r w:rsidR="00B70EC2">
          <w:rPr>
            <w:noProof/>
            <w:webHidden/>
          </w:rPr>
          <w:fldChar w:fldCharType="end"/>
        </w:r>
      </w:hyperlink>
    </w:p>
    <w:p w14:paraId="64E3920E" w14:textId="672D99D9"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48" w:history="1">
        <w:r w:rsidR="00B70EC2" w:rsidRPr="00FE60E8">
          <w:rPr>
            <w:rStyle w:val="Hyperlink"/>
            <w:noProof/>
          </w:rPr>
          <w:t>Derived Tax Revenue Transactions</w:t>
        </w:r>
        <w:r w:rsidR="00B70EC2">
          <w:rPr>
            <w:noProof/>
            <w:webHidden/>
          </w:rPr>
          <w:tab/>
        </w:r>
        <w:r w:rsidR="00B70EC2">
          <w:rPr>
            <w:noProof/>
            <w:webHidden/>
          </w:rPr>
          <w:fldChar w:fldCharType="begin"/>
        </w:r>
        <w:r w:rsidR="00B70EC2">
          <w:rPr>
            <w:noProof/>
            <w:webHidden/>
          </w:rPr>
          <w:instrText xml:space="preserve"> PAGEREF _Toc166149248 \h </w:instrText>
        </w:r>
        <w:r w:rsidR="00B70EC2">
          <w:rPr>
            <w:noProof/>
            <w:webHidden/>
          </w:rPr>
        </w:r>
        <w:r w:rsidR="00B70EC2">
          <w:rPr>
            <w:noProof/>
            <w:webHidden/>
          </w:rPr>
          <w:fldChar w:fldCharType="separate"/>
        </w:r>
        <w:r w:rsidR="00B70EC2">
          <w:rPr>
            <w:noProof/>
            <w:webHidden/>
          </w:rPr>
          <w:t>28</w:t>
        </w:r>
        <w:r w:rsidR="00B70EC2">
          <w:rPr>
            <w:noProof/>
            <w:webHidden/>
          </w:rPr>
          <w:fldChar w:fldCharType="end"/>
        </w:r>
      </w:hyperlink>
    </w:p>
    <w:p w14:paraId="09671FD8" w14:textId="69E0A1E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49" w:history="1">
        <w:r w:rsidR="00B70EC2" w:rsidRPr="00FE60E8">
          <w:rPr>
            <w:rStyle w:val="Hyperlink"/>
            <w:noProof/>
          </w:rPr>
          <w:t>Imposed Nonexchange Revenue Transactions</w:t>
        </w:r>
        <w:r w:rsidR="00B70EC2">
          <w:rPr>
            <w:noProof/>
            <w:webHidden/>
          </w:rPr>
          <w:tab/>
        </w:r>
        <w:r w:rsidR="00B70EC2">
          <w:rPr>
            <w:noProof/>
            <w:webHidden/>
          </w:rPr>
          <w:fldChar w:fldCharType="begin"/>
        </w:r>
        <w:r w:rsidR="00B70EC2">
          <w:rPr>
            <w:noProof/>
            <w:webHidden/>
          </w:rPr>
          <w:instrText xml:space="preserve"> PAGEREF _Toc166149249 \h </w:instrText>
        </w:r>
        <w:r w:rsidR="00B70EC2">
          <w:rPr>
            <w:noProof/>
            <w:webHidden/>
          </w:rPr>
        </w:r>
        <w:r w:rsidR="00B70EC2">
          <w:rPr>
            <w:noProof/>
            <w:webHidden/>
          </w:rPr>
          <w:fldChar w:fldCharType="separate"/>
        </w:r>
        <w:r w:rsidR="00B70EC2">
          <w:rPr>
            <w:noProof/>
            <w:webHidden/>
          </w:rPr>
          <w:t>28</w:t>
        </w:r>
        <w:r w:rsidR="00B70EC2">
          <w:rPr>
            <w:noProof/>
            <w:webHidden/>
          </w:rPr>
          <w:fldChar w:fldCharType="end"/>
        </w:r>
      </w:hyperlink>
    </w:p>
    <w:p w14:paraId="543D6581" w14:textId="09E740CB"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50" w:history="1">
        <w:r w:rsidR="00B70EC2" w:rsidRPr="00FE60E8">
          <w:rPr>
            <w:rStyle w:val="Hyperlink"/>
            <w:noProof/>
          </w:rPr>
          <w:t>Section _.3 Grant and Contribution Revenues</w:t>
        </w:r>
        <w:r w:rsidR="00B70EC2">
          <w:rPr>
            <w:noProof/>
            <w:webHidden/>
          </w:rPr>
          <w:tab/>
        </w:r>
        <w:r w:rsidR="00B70EC2">
          <w:rPr>
            <w:noProof/>
            <w:webHidden/>
          </w:rPr>
          <w:fldChar w:fldCharType="begin"/>
        </w:r>
        <w:r w:rsidR="00B70EC2">
          <w:rPr>
            <w:noProof/>
            <w:webHidden/>
          </w:rPr>
          <w:instrText xml:space="preserve"> PAGEREF _Toc166149250 \h </w:instrText>
        </w:r>
        <w:r w:rsidR="00B70EC2">
          <w:rPr>
            <w:noProof/>
            <w:webHidden/>
          </w:rPr>
        </w:r>
        <w:r w:rsidR="00B70EC2">
          <w:rPr>
            <w:noProof/>
            <w:webHidden/>
          </w:rPr>
          <w:fldChar w:fldCharType="separate"/>
        </w:r>
        <w:r w:rsidR="00B70EC2">
          <w:rPr>
            <w:noProof/>
            <w:webHidden/>
          </w:rPr>
          <w:t>30</w:t>
        </w:r>
        <w:r w:rsidR="00B70EC2">
          <w:rPr>
            <w:noProof/>
            <w:webHidden/>
          </w:rPr>
          <w:fldChar w:fldCharType="end"/>
        </w:r>
      </w:hyperlink>
    </w:p>
    <w:p w14:paraId="526BDD01" w14:textId="5D493711"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51" w:history="1">
        <w:r w:rsidR="00B70EC2" w:rsidRPr="00FE60E8">
          <w:rPr>
            <w:rStyle w:val="Hyperlink"/>
            <w:noProof/>
          </w:rPr>
          <w:t>Amounts to Report or Disclose</w:t>
        </w:r>
        <w:r w:rsidR="00B70EC2">
          <w:rPr>
            <w:noProof/>
            <w:webHidden/>
          </w:rPr>
          <w:tab/>
        </w:r>
        <w:r w:rsidR="00B70EC2">
          <w:rPr>
            <w:noProof/>
            <w:webHidden/>
          </w:rPr>
          <w:fldChar w:fldCharType="begin"/>
        </w:r>
        <w:r w:rsidR="00B70EC2">
          <w:rPr>
            <w:noProof/>
            <w:webHidden/>
          </w:rPr>
          <w:instrText xml:space="preserve"> PAGEREF _Toc166149251 \h </w:instrText>
        </w:r>
        <w:r w:rsidR="00B70EC2">
          <w:rPr>
            <w:noProof/>
            <w:webHidden/>
          </w:rPr>
        </w:r>
        <w:r w:rsidR="00B70EC2">
          <w:rPr>
            <w:noProof/>
            <w:webHidden/>
          </w:rPr>
          <w:fldChar w:fldCharType="separate"/>
        </w:r>
        <w:r w:rsidR="00B70EC2">
          <w:rPr>
            <w:noProof/>
            <w:webHidden/>
          </w:rPr>
          <w:t>31</w:t>
        </w:r>
        <w:r w:rsidR="00B70EC2">
          <w:rPr>
            <w:noProof/>
            <w:webHidden/>
          </w:rPr>
          <w:fldChar w:fldCharType="end"/>
        </w:r>
      </w:hyperlink>
    </w:p>
    <w:p w14:paraId="0F0A52B9" w14:textId="7480A728"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52" w:history="1">
        <w:r w:rsidR="00B70EC2" w:rsidRPr="00FE60E8">
          <w:rPr>
            <w:rStyle w:val="Hyperlink"/>
            <w:noProof/>
          </w:rPr>
          <w:t>Relationship between Reporting Package and Schedule of Expenditures of Federal Awards</w:t>
        </w:r>
        <w:r w:rsidR="00B70EC2">
          <w:rPr>
            <w:noProof/>
            <w:webHidden/>
          </w:rPr>
          <w:tab/>
        </w:r>
        <w:r w:rsidR="00B70EC2">
          <w:rPr>
            <w:noProof/>
            <w:webHidden/>
          </w:rPr>
          <w:fldChar w:fldCharType="begin"/>
        </w:r>
        <w:r w:rsidR="00B70EC2">
          <w:rPr>
            <w:noProof/>
            <w:webHidden/>
          </w:rPr>
          <w:instrText xml:space="preserve"> PAGEREF _Toc166149252 \h </w:instrText>
        </w:r>
        <w:r w:rsidR="00B70EC2">
          <w:rPr>
            <w:noProof/>
            <w:webHidden/>
          </w:rPr>
        </w:r>
        <w:r w:rsidR="00B70EC2">
          <w:rPr>
            <w:noProof/>
            <w:webHidden/>
          </w:rPr>
          <w:fldChar w:fldCharType="separate"/>
        </w:r>
        <w:r w:rsidR="00B70EC2">
          <w:rPr>
            <w:noProof/>
            <w:webHidden/>
          </w:rPr>
          <w:t>34</w:t>
        </w:r>
        <w:r w:rsidR="00B70EC2">
          <w:rPr>
            <w:noProof/>
            <w:webHidden/>
          </w:rPr>
          <w:fldChar w:fldCharType="end"/>
        </w:r>
      </w:hyperlink>
    </w:p>
    <w:p w14:paraId="1A143124" w14:textId="42057B03"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53" w:history="1">
        <w:r w:rsidR="00B70EC2" w:rsidRPr="00FE60E8">
          <w:rPr>
            <w:rStyle w:val="Hyperlink"/>
            <w:noProof/>
          </w:rPr>
          <w:t>Section _.4 Other Receivables</w:t>
        </w:r>
        <w:r w:rsidR="00B70EC2">
          <w:rPr>
            <w:noProof/>
            <w:webHidden/>
          </w:rPr>
          <w:tab/>
        </w:r>
        <w:r w:rsidR="00B70EC2">
          <w:rPr>
            <w:noProof/>
            <w:webHidden/>
          </w:rPr>
          <w:fldChar w:fldCharType="begin"/>
        </w:r>
        <w:r w:rsidR="00B70EC2">
          <w:rPr>
            <w:noProof/>
            <w:webHidden/>
          </w:rPr>
          <w:instrText xml:space="preserve"> PAGEREF _Toc166149253 \h </w:instrText>
        </w:r>
        <w:r w:rsidR="00B70EC2">
          <w:rPr>
            <w:noProof/>
            <w:webHidden/>
          </w:rPr>
        </w:r>
        <w:r w:rsidR="00B70EC2">
          <w:rPr>
            <w:noProof/>
            <w:webHidden/>
          </w:rPr>
          <w:fldChar w:fldCharType="separate"/>
        </w:r>
        <w:r w:rsidR="00B70EC2">
          <w:rPr>
            <w:noProof/>
            <w:webHidden/>
          </w:rPr>
          <w:t>35</w:t>
        </w:r>
        <w:r w:rsidR="00B70EC2">
          <w:rPr>
            <w:noProof/>
            <w:webHidden/>
          </w:rPr>
          <w:fldChar w:fldCharType="end"/>
        </w:r>
      </w:hyperlink>
    </w:p>
    <w:p w14:paraId="13ADF2D2" w14:textId="59D827F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54" w:history="1">
        <w:r w:rsidR="00B70EC2" w:rsidRPr="00FE60E8">
          <w:rPr>
            <w:rStyle w:val="Hyperlink"/>
            <w:noProof/>
          </w:rPr>
          <w:t>Section _.5 Unearned Revenue</w:t>
        </w:r>
        <w:r w:rsidR="00B70EC2">
          <w:rPr>
            <w:noProof/>
            <w:webHidden/>
          </w:rPr>
          <w:tab/>
        </w:r>
        <w:r w:rsidR="00B70EC2">
          <w:rPr>
            <w:noProof/>
            <w:webHidden/>
          </w:rPr>
          <w:fldChar w:fldCharType="begin"/>
        </w:r>
        <w:r w:rsidR="00B70EC2">
          <w:rPr>
            <w:noProof/>
            <w:webHidden/>
          </w:rPr>
          <w:instrText xml:space="preserve"> PAGEREF _Toc166149254 \h </w:instrText>
        </w:r>
        <w:r w:rsidR="00B70EC2">
          <w:rPr>
            <w:noProof/>
            <w:webHidden/>
          </w:rPr>
        </w:r>
        <w:r w:rsidR="00B70EC2">
          <w:rPr>
            <w:noProof/>
            <w:webHidden/>
          </w:rPr>
          <w:fldChar w:fldCharType="separate"/>
        </w:r>
        <w:r w:rsidR="00B70EC2">
          <w:rPr>
            <w:noProof/>
            <w:webHidden/>
          </w:rPr>
          <w:t>38</w:t>
        </w:r>
        <w:r w:rsidR="00B70EC2">
          <w:rPr>
            <w:noProof/>
            <w:webHidden/>
          </w:rPr>
          <w:fldChar w:fldCharType="end"/>
        </w:r>
      </w:hyperlink>
    </w:p>
    <w:p w14:paraId="1349135F" w14:textId="525CE0DB"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55" w:history="1">
        <w:r w:rsidR="00B70EC2" w:rsidRPr="00FE60E8">
          <w:rPr>
            <w:rStyle w:val="Hyperlink"/>
            <w:noProof/>
          </w:rPr>
          <w:t>Section _.6 Inventory</w:t>
        </w:r>
        <w:r w:rsidR="00B70EC2">
          <w:rPr>
            <w:noProof/>
            <w:webHidden/>
          </w:rPr>
          <w:tab/>
        </w:r>
        <w:r w:rsidR="00B70EC2">
          <w:rPr>
            <w:noProof/>
            <w:webHidden/>
          </w:rPr>
          <w:fldChar w:fldCharType="begin"/>
        </w:r>
        <w:r w:rsidR="00B70EC2">
          <w:rPr>
            <w:noProof/>
            <w:webHidden/>
          </w:rPr>
          <w:instrText xml:space="preserve"> PAGEREF _Toc166149255 \h </w:instrText>
        </w:r>
        <w:r w:rsidR="00B70EC2">
          <w:rPr>
            <w:noProof/>
            <w:webHidden/>
          </w:rPr>
        </w:r>
        <w:r w:rsidR="00B70EC2">
          <w:rPr>
            <w:noProof/>
            <w:webHidden/>
          </w:rPr>
          <w:fldChar w:fldCharType="separate"/>
        </w:r>
        <w:r w:rsidR="00B70EC2">
          <w:rPr>
            <w:noProof/>
            <w:webHidden/>
          </w:rPr>
          <w:t>38</w:t>
        </w:r>
        <w:r w:rsidR="00B70EC2">
          <w:rPr>
            <w:noProof/>
            <w:webHidden/>
          </w:rPr>
          <w:fldChar w:fldCharType="end"/>
        </w:r>
      </w:hyperlink>
    </w:p>
    <w:p w14:paraId="7578D603" w14:textId="5ECBD4E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56" w:history="1">
        <w:r w:rsidR="00B70EC2" w:rsidRPr="00FE60E8">
          <w:rPr>
            <w:rStyle w:val="Hyperlink"/>
            <w:noProof/>
          </w:rPr>
          <w:t>Perform a Physical Count of Inventory</w:t>
        </w:r>
        <w:r w:rsidR="00B70EC2">
          <w:rPr>
            <w:noProof/>
            <w:webHidden/>
          </w:rPr>
          <w:tab/>
        </w:r>
        <w:r w:rsidR="00B70EC2">
          <w:rPr>
            <w:noProof/>
            <w:webHidden/>
          </w:rPr>
          <w:fldChar w:fldCharType="begin"/>
        </w:r>
        <w:r w:rsidR="00B70EC2">
          <w:rPr>
            <w:noProof/>
            <w:webHidden/>
          </w:rPr>
          <w:instrText xml:space="preserve"> PAGEREF _Toc166149256 \h </w:instrText>
        </w:r>
        <w:r w:rsidR="00B70EC2">
          <w:rPr>
            <w:noProof/>
            <w:webHidden/>
          </w:rPr>
        </w:r>
        <w:r w:rsidR="00B70EC2">
          <w:rPr>
            <w:noProof/>
            <w:webHidden/>
          </w:rPr>
          <w:fldChar w:fldCharType="separate"/>
        </w:r>
        <w:r w:rsidR="00B70EC2">
          <w:rPr>
            <w:noProof/>
            <w:webHidden/>
          </w:rPr>
          <w:t>38</w:t>
        </w:r>
        <w:r w:rsidR="00B70EC2">
          <w:rPr>
            <w:noProof/>
            <w:webHidden/>
          </w:rPr>
          <w:fldChar w:fldCharType="end"/>
        </w:r>
      </w:hyperlink>
    </w:p>
    <w:p w14:paraId="37B71B44" w14:textId="59487021"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57" w:history="1">
        <w:r w:rsidR="00B70EC2" w:rsidRPr="00FE60E8">
          <w:rPr>
            <w:rStyle w:val="Hyperlink"/>
            <w:noProof/>
          </w:rPr>
          <w:t>Section _.7 Prepaid Expenses</w:t>
        </w:r>
        <w:r w:rsidR="00B70EC2">
          <w:rPr>
            <w:noProof/>
            <w:webHidden/>
          </w:rPr>
          <w:tab/>
        </w:r>
        <w:r w:rsidR="00B70EC2">
          <w:rPr>
            <w:noProof/>
            <w:webHidden/>
          </w:rPr>
          <w:fldChar w:fldCharType="begin"/>
        </w:r>
        <w:r w:rsidR="00B70EC2">
          <w:rPr>
            <w:noProof/>
            <w:webHidden/>
          </w:rPr>
          <w:instrText xml:space="preserve"> PAGEREF _Toc166149257 \h </w:instrText>
        </w:r>
        <w:r w:rsidR="00B70EC2">
          <w:rPr>
            <w:noProof/>
            <w:webHidden/>
          </w:rPr>
        </w:r>
        <w:r w:rsidR="00B70EC2">
          <w:rPr>
            <w:noProof/>
            <w:webHidden/>
          </w:rPr>
          <w:fldChar w:fldCharType="separate"/>
        </w:r>
        <w:r w:rsidR="00B70EC2">
          <w:rPr>
            <w:noProof/>
            <w:webHidden/>
          </w:rPr>
          <w:t>39</w:t>
        </w:r>
        <w:r w:rsidR="00B70EC2">
          <w:rPr>
            <w:noProof/>
            <w:webHidden/>
          </w:rPr>
          <w:fldChar w:fldCharType="end"/>
        </w:r>
      </w:hyperlink>
    </w:p>
    <w:p w14:paraId="069DC205" w14:textId="5BE24A45"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58" w:history="1">
        <w:r w:rsidR="00B70EC2" w:rsidRPr="00FE60E8">
          <w:rPr>
            <w:rStyle w:val="Hyperlink"/>
            <w:noProof/>
          </w:rPr>
          <w:t>Identification and Recognition of Prepaid Expenses</w:t>
        </w:r>
        <w:r w:rsidR="00B70EC2">
          <w:rPr>
            <w:noProof/>
            <w:webHidden/>
          </w:rPr>
          <w:tab/>
        </w:r>
        <w:r w:rsidR="00B70EC2">
          <w:rPr>
            <w:noProof/>
            <w:webHidden/>
          </w:rPr>
          <w:fldChar w:fldCharType="begin"/>
        </w:r>
        <w:r w:rsidR="00B70EC2">
          <w:rPr>
            <w:noProof/>
            <w:webHidden/>
          </w:rPr>
          <w:instrText xml:space="preserve"> PAGEREF _Toc166149258 \h </w:instrText>
        </w:r>
        <w:r w:rsidR="00B70EC2">
          <w:rPr>
            <w:noProof/>
            <w:webHidden/>
          </w:rPr>
        </w:r>
        <w:r w:rsidR="00B70EC2">
          <w:rPr>
            <w:noProof/>
            <w:webHidden/>
          </w:rPr>
          <w:fldChar w:fldCharType="separate"/>
        </w:r>
        <w:r w:rsidR="00B70EC2">
          <w:rPr>
            <w:noProof/>
            <w:webHidden/>
          </w:rPr>
          <w:t>39</w:t>
        </w:r>
        <w:r w:rsidR="00B70EC2">
          <w:rPr>
            <w:noProof/>
            <w:webHidden/>
          </w:rPr>
          <w:fldChar w:fldCharType="end"/>
        </w:r>
      </w:hyperlink>
    </w:p>
    <w:p w14:paraId="6D28E3C6" w14:textId="5791C7B0"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59" w:history="1">
        <w:r w:rsidR="00B70EC2" w:rsidRPr="00FE60E8">
          <w:rPr>
            <w:rStyle w:val="Hyperlink"/>
            <w:noProof/>
          </w:rPr>
          <w:t>Section _.8 Capital Assets</w:t>
        </w:r>
        <w:r w:rsidR="00B70EC2">
          <w:rPr>
            <w:noProof/>
            <w:webHidden/>
          </w:rPr>
          <w:tab/>
        </w:r>
        <w:r w:rsidR="00B70EC2">
          <w:rPr>
            <w:noProof/>
            <w:webHidden/>
          </w:rPr>
          <w:fldChar w:fldCharType="begin"/>
        </w:r>
        <w:r w:rsidR="00B70EC2">
          <w:rPr>
            <w:noProof/>
            <w:webHidden/>
          </w:rPr>
          <w:instrText xml:space="preserve"> PAGEREF _Toc166149259 \h </w:instrText>
        </w:r>
        <w:r w:rsidR="00B70EC2">
          <w:rPr>
            <w:noProof/>
            <w:webHidden/>
          </w:rPr>
        </w:r>
        <w:r w:rsidR="00B70EC2">
          <w:rPr>
            <w:noProof/>
            <w:webHidden/>
          </w:rPr>
          <w:fldChar w:fldCharType="separate"/>
        </w:r>
        <w:r w:rsidR="00B70EC2">
          <w:rPr>
            <w:noProof/>
            <w:webHidden/>
          </w:rPr>
          <w:t>41</w:t>
        </w:r>
        <w:r w:rsidR="00B70EC2">
          <w:rPr>
            <w:noProof/>
            <w:webHidden/>
          </w:rPr>
          <w:fldChar w:fldCharType="end"/>
        </w:r>
      </w:hyperlink>
    </w:p>
    <w:p w14:paraId="54B71857" w14:textId="5B9F0046"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0" w:history="1">
        <w:r w:rsidR="00B70EC2" w:rsidRPr="00FE60E8">
          <w:rPr>
            <w:rStyle w:val="Hyperlink"/>
            <w:noProof/>
          </w:rPr>
          <w:t>Cost Principles</w:t>
        </w:r>
        <w:r w:rsidR="00B70EC2">
          <w:rPr>
            <w:noProof/>
            <w:webHidden/>
          </w:rPr>
          <w:tab/>
        </w:r>
        <w:r w:rsidR="00B70EC2">
          <w:rPr>
            <w:noProof/>
            <w:webHidden/>
          </w:rPr>
          <w:fldChar w:fldCharType="begin"/>
        </w:r>
        <w:r w:rsidR="00B70EC2">
          <w:rPr>
            <w:noProof/>
            <w:webHidden/>
          </w:rPr>
          <w:instrText xml:space="preserve"> PAGEREF _Toc166149260 \h </w:instrText>
        </w:r>
        <w:r w:rsidR="00B70EC2">
          <w:rPr>
            <w:noProof/>
            <w:webHidden/>
          </w:rPr>
        </w:r>
        <w:r w:rsidR="00B70EC2">
          <w:rPr>
            <w:noProof/>
            <w:webHidden/>
          </w:rPr>
          <w:fldChar w:fldCharType="separate"/>
        </w:r>
        <w:r w:rsidR="00B70EC2">
          <w:rPr>
            <w:noProof/>
            <w:webHidden/>
          </w:rPr>
          <w:t>41</w:t>
        </w:r>
        <w:r w:rsidR="00B70EC2">
          <w:rPr>
            <w:noProof/>
            <w:webHidden/>
          </w:rPr>
          <w:fldChar w:fldCharType="end"/>
        </w:r>
      </w:hyperlink>
    </w:p>
    <w:p w14:paraId="0F2DB3B9" w14:textId="3E1B16D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1" w:history="1">
        <w:r w:rsidR="00B70EC2" w:rsidRPr="00FE60E8">
          <w:rPr>
            <w:rStyle w:val="Hyperlink"/>
            <w:noProof/>
          </w:rPr>
          <w:t>Recording Assets</w:t>
        </w:r>
        <w:r w:rsidR="00B70EC2">
          <w:rPr>
            <w:noProof/>
            <w:webHidden/>
          </w:rPr>
          <w:tab/>
        </w:r>
        <w:r w:rsidR="00B70EC2">
          <w:rPr>
            <w:noProof/>
            <w:webHidden/>
          </w:rPr>
          <w:fldChar w:fldCharType="begin"/>
        </w:r>
        <w:r w:rsidR="00B70EC2">
          <w:rPr>
            <w:noProof/>
            <w:webHidden/>
          </w:rPr>
          <w:instrText xml:space="preserve"> PAGEREF _Toc166149261 \h </w:instrText>
        </w:r>
        <w:r w:rsidR="00B70EC2">
          <w:rPr>
            <w:noProof/>
            <w:webHidden/>
          </w:rPr>
        </w:r>
        <w:r w:rsidR="00B70EC2">
          <w:rPr>
            <w:noProof/>
            <w:webHidden/>
          </w:rPr>
          <w:fldChar w:fldCharType="separate"/>
        </w:r>
        <w:r w:rsidR="00B70EC2">
          <w:rPr>
            <w:noProof/>
            <w:webHidden/>
          </w:rPr>
          <w:t>42</w:t>
        </w:r>
        <w:r w:rsidR="00B70EC2">
          <w:rPr>
            <w:noProof/>
            <w:webHidden/>
          </w:rPr>
          <w:fldChar w:fldCharType="end"/>
        </w:r>
      </w:hyperlink>
    </w:p>
    <w:p w14:paraId="67548C2F" w14:textId="4C7D6176"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2" w:history="1">
        <w:r w:rsidR="00B70EC2" w:rsidRPr="00FE60E8">
          <w:rPr>
            <w:rStyle w:val="Hyperlink"/>
            <w:noProof/>
          </w:rPr>
          <w:t>Depreciation</w:t>
        </w:r>
        <w:r w:rsidR="00B70EC2">
          <w:rPr>
            <w:noProof/>
            <w:webHidden/>
          </w:rPr>
          <w:tab/>
        </w:r>
        <w:r w:rsidR="00B70EC2">
          <w:rPr>
            <w:noProof/>
            <w:webHidden/>
          </w:rPr>
          <w:fldChar w:fldCharType="begin"/>
        </w:r>
        <w:r w:rsidR="00B70EC2">
          <w:rPr>
            <w:noProof/>
            <w:webHidden/>
          </w:rPr>
          <w:instrText xml:space="preserve"> PAGEREF _Toc166149262 \h </w:instrText>
        </w:r>
        <w:r w:rsidR="00B70EC2">
          <w:rPr>
            <w:noProof/>
            <w:webHidden/>
          </w:rPr>
        </w:r>
        <w:r w:rsidR="00B70EC2">
          <w:rPr>
            <w:noProof/>
            <w:webHidden/>
          </w:rPr>
          <w:fldChar w:fldCharType="separate"/>
        </w:r>
        <w:r w:rsidR="00B70EC2">
          <w:rPr>
            <w:noProof/>
            <w:webHidden/>
          </w:rPr>
          <w:t>43</w:t>
        </w:r>
        <w:r w:rsidR="00B70EC2">
          <w:rPr>
            <w:noProof/>
            <w:webHidden/>
          </w:rPr>
          <w:fldChar w:fldCharType="end"/>
        </w:r>
      </w:hyperlink>
    </w:p>
    <w:p w14:paraId="3192C7F5" w14:textId="3C365AF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3" w:history="1">
        <w:r w:rsidR="00B70EC2" w:rsidRPr="00FE60E8">
          <w:rPr>
            <w:rStyle w:val="Hyperlink"/>
            <w:noProof/>
          </w:rPr>
          <w:t>Reporting of Assets</w:t>
        </w:r>
        <w:r w:rsidR="00B70EC2">
          <w:rPr>
            <w:noProof/>
            <w:webHidden/>
          </w:rPr>
          <w:tab/>
        </w:r>
        <w:r w:rsidR="00B70EC2">
          <w:rPr>
            <w:noProof/>
            <w:webHidden/>
          </w:rPr>
          <w:fldChar w:fldCharType="begin"/>
        </w:r>
        <w:r w:rsidR="00B70EC2">
          <w:rPr>
            <w:noProof/>
            <w:webHidden/>
          </w:rPr>
          <w:instrText xml:space="preserve"> PAGEREF _Toc166149263 \h </w:instrText>
        </w:r>
        <w:r w:rsidR="00B70EC2">
          <w:rPr>
            <w:noProof/>
            <w:webHidden/>
          </w:rPr>
        </w:r>
        <w:r w:rsidR="00B70EC2">
          <w:rPr>
            <w:noProof/>
            <w:webHidden/>
          </w:rPr>
          <w:fldChar w:fldCharType="separate"/>
        </w:r>
        <w:r w:rsidR="00B70EC2">
          <w:rPr>
            <w:noProof/>
            <w:webHidden/>
          </w:rPr>
          <w:t>44</w:t>
        </w:r>
        <w:r w:rsidR="00B70EC2">
          <w:rPr>
            <w:noProof/>
            <w:webHidden/>
          </w:rPr>
          <w:fldChar w:fldCharType="end"/>
        </w:r>
      </w:hyperlink>
    </w:p>
    <w:p w14:paraId="670DD685" w14:textId="78DD7AA5"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64" w:history="1">
        <w:r w:rsidR="00B70EC2" w:rsidRPr="00FE60E8">
          <w:rPr>
            <w:rStyle w:val="Hyperlink"/>
            <w:noProof/>
          </w:rPr>
          <w:t>Section _.9 Leases</w:t>
        </w:r>
        <w:r w:rsidR="00B70EC2">
          <w:rPr>
            <w:noProof/>
            <w:webHidden/>
          </w:rPr>
          <w:tab/>
        </w:r>
        <w:r w:rsidR="00B70EC2">
          <w:rPr>
            <w:noProof/>
            <w:webHidden/>
          </w:rPr>
          <w:fldChar w:fldCharType="begin"/>
        </w:r>
        <w:r w:rsidR="00B70EC2">
          <w:rPr>
            <w:noProof/>
            <w:webHidden/>
          </w:rPr>
          <w:instrText xml:space="preserve"> PAGEREF _Toc166149264 \h </w:instrText>
        </w:r>
        <w:r w:rsidR="00B70EC2">
          <w:rPr>
            <w:noProof/>
            <w:webHidden/>
          </w:rPr>
        </w:r>
        <w:r w:rsidR="00B70EC2">
          <w:rPr>
            <w:noProof/>
            <w:webHidden/>
          </w:rPr>
          <w:fldChar w:fldCharType="separate"/>
        </w:r>
        <w:r w:rsidR="00B70EC2">
          <w:rPr>
            <w:noProof/>
            <w:webHidden/>
          </w:rPr>
          <w:t>48</w:t>
        </w:r>
        <w:r w:rsidR="00B70EC2">
          <w:rPr>
            <w:noProof/>
            <w:webHidden/>
          </w:rPr>
          <w:fldChar w:fldCharType="end"/>
        </w:r>
      </w:hyperlink>
    </w:p>
    <w:p w14:paraId="18EBA853" w14:textId="6BB23BE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5" w:history="1">
        <w:r w:rsidR="00B70EC2" w:rsidRPr="00FE60E8">
          <w:rPr>
            <w:rStyle w:val="Hyperlink"/>
            <w:noProof/>
          </w:rPr>
          <w:t>Accounting for Leases</w:t>
        </w:r>
        <w:r w:rsidR="00B70EC2">
          <w:rPr>
            <w:noProof/>
            <w:webHidden/>
          </w:rPr>
          <w:tab/>
        </w:r>
        <w:r w:rsidR="00B70EC2">
          <w:rPr>
            <w:noProof/>
            <w:webHidden/>
          </w:rPr>
          <w:fldChar w:fldCharType="begin"/>
        </w:r>
        <w:r w:rsidR="00B70EC2">
          <w:rPr>
            <w:noProof/>
            <w:webHidden/>
          </w:rPr>
          <w:instrText xml:space="preserve"> PAGEREF _Toc166149265 \h </w:instrText>
        </w:r>
        <w:r w:rsidR="00B70EC2">
          <w:rPr>
            <w:noProof/>
            <w:webHidden/>
          </w:rPr>
        </w:r>
        <w:r w:rsidR="00B70EC2">
          <w:rPr>
            <w:noProof/>
            <w:webHidden/>
          </w:rPr>
          <w:fldChar w:fldCharType="separate"/>
        </w:r>
        <w:r w:rsidR="00B70EC2">
          <w:rPr>
            <w:noProof/>
            <w:webHidden/>
          </w:rPr>
          <w:t>48</w:t>
        </w:r>
        <w:r w:rsidR="00B70EC2">
          <w:rPr>
            <w:noProof/>
            <w:webHidden/>
          </w:rPr>
          <w:fldChar w:fldCharType="end"/>
        </w:r>
      </w:hyperlink>
    </w:p>
    <w:p w14:paraId="23A5433C" w14:textId="2028591F"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6" w:history="1">
        <w:r w:rsidR="00B70EC2" w:rsidRPr="00FE60E8">
          <w:rPr>
            <w:rStyle w:val="Hyperlink"/>
            <w:noProof/>
          </w:rPr>
          <w:t>Five-Year Increments after the First Five Subsequent Fiscal Years</w:t>
        </w:r>
        <w:r w:rsidR="00B70EC2">
          <w:rPr>
            <w:noProof/>
            <w:webHidden/>
          </w:rPr>
          <w:tab/>
        </w:r>
        <w:r w:rsidR="00B70EC2">
          <w:rPr>
            <w:noProof/>
            <w:webHidden/>
          </w:rPr>
          <w:fldChar w:fldCharType="begin"/>
        </w:r>
        <w:r w:rsidR="00B70EC2">
          <w:rPr>
            <w:noProof/>
            <w:webHidden/>
          </w:rPr>
          <w:instrText xml:space="preserve"> PAGEREF _Toc166149266 \h </w:instrText>
        </w:r>
        <w:r w:rsidR="00B70EC2">
          <w:rPr>
            <w:noProof/>
            <w:webHidden/>
          </w:rPr>
        </w:r>
        <w:r w:rsidR="00B70EC2">
          <w:rPr>
            <w:noProof/>
            <w:webHidden/>
          </w:rPr>
          <w:fldChar w:fldCharType="separate"/>
        </w:r>
        <w:r w:rsidR="00B70EC2">
          <w:rPr>
            <w:noProof/>
            <w:webHidden/>
          </w:rPr>
          <w:t>49</w:t>
        </w:r>
        <w:r w:rsidR="00B70EC2">
          <w:rPr>
            <w:noProof/>
            <w:webHidden/>
          </w:rPr>
          <w:fldChar w:fldCharType="end"/>
        </w:r>
      </w:hyperlink>
    </w:p>
    <w:p w14:paraId="1611086D" w14:textId="757357AD"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7" w:history="1">
        <w:r w:rsidR="00B70EC2" w:rsidRPr="00FE60E8">
          <w:rPr>
            <w:rStyle w:val="Hyperlink"/>
            <w:noProof/>
          </w:rPr>
          <w:t>Current Year Lease Payments</w:t>
        </w:r>
        <w:r w:rsidR="00B70EC2">
          <w:rPr>
            <w:noProof/>
            <w:webHidden/>
          </w:rPr>
          <w:tab/>
        </w:r>
        <w:r w:rsidR="00B70EC2">
          <w:rPr>
            <w:noProof/>
            <w:webHidden/>
          </w:rPr>
          <w:fldChar w:fldCharType="begin"/>
        </w:r>
        <w:r w:rsidR="00B70EC2">
          <w:rPr>
            <w:noProof/>
            <w:webHidden/>
          </w:rPr>
          <w:instrText xml:space="preserve"> PAGEREF _Toc166149267 \h </w:instrText>
        </w:r>
        <w:r w:rsidR="00B70EC2">
          <w:rPr>
            <w:noProof/>
            <w:webHidden/>
          </w:rPr>
        </w:r>
        <w:r w:rsidR="00B70EC2">
          <w:rPr>
            <w:noProof/>
            <w:webHidden/>
          </w:rPr>
          <w:fldChar w:fldCharType="separate"/>
        </w:r>
        <w:r w:rsidR="00B70EC2">
          <w:rPr>
            <w:noProof/>
            <w:webHidden/>
          </w:rPr>
          <w:t>49</w:t>
        </w:r>
        <w:r w:rsidR="00B70EC2">
          <w:rPr>
            <w:noProof/>
            <w:webHidden/>
          </w:rPr>
          <w:fldChar w:fldCharType="end"/>
        </w:r>
      </w:hyperlink>
    </w:p>
    <w:p w14:paraId="267CF6D8" w14:textId="08ED96D3"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8" w:history="1">
        <w:r w:rsidR="00B70EC2" w:rsidRPr="00FE60E8">
          <w:rPr>
            <w:rStyle w:val="Hyperlink"/>
            <w:noProof/>
          </w:rPr>
          <w:t>Schedules of Leases</w:t>
        </w:r>
        <w:r w:rsidR="00B70EC2">
          <w:rPr>
            <w:noProof/>
            <w:webHidden/>
          </w:rPr>
          <w:tab/>
        </w:r>
        <w:r w:rsidR="00B70EC2">
          <w:rPr>
            <w:noProof/>
            <w:webHidden/>
          </w:rPr>
          <w:fldChar w:fldCharType="begin"/>
        </w:r>
        <w:r w:rsidR="00B70EC2">
          <w:rPr>
            <w:noProof/>
            <w:webHidden/>
          </w:rPr>
          <w:instrText xml:space="preserve"> PAGEREF _Toc166149268 \h </w:instrText>
        </w:r>
        <w:r w:rsidR="00B70EC2">
          <w:rPr>
            <w:noProof/>
            <w:webHidden/>
          </w:rPr>
        </w:r>
        <w:r w:rsidR="00B70EC2">
          <w:rPr>
            <w:noProof/>
            <w:webHidden/>
          </w:rPr>
          <w:fldChar w:fldCharType="separate"/>
        </w:r>
        <w:r w:rsidR="00B70EC2">
          <w:rPr>
            <w:noProof/>
            <w:webHidden/>
          </w:rPr>
          <w:t>49</w:t>
        </w:r>
        <w:r w:rsidR="00B70EC2">
          <w:rPr>
            <w:noProof/>
            <w:webHidden/>
          </w:rPr>
          <w:fldChar w:fldCharType="end"/>
        </w:r>
      </w:hyperlink>
    </w:p>
    <w:p w14:paraId="23168D9E" w14:textId="7491C121"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69" w:history="1">
        <w:r w:rsidR="00B70EC2" w:rsidRPr="00FE60E8">
          <w:rPr>
            <w:rStyle w:val="Hyperlink"/>
            <w:noProof/>
          </w:rPr>
          <w:t>Assets Acquired under Leases</w:t>
        </w:r>
        <w:r w:rsidR="00B70EC2">
          <w:rPr>
            <w:noProof/>
            <w:webHidden/>
          </w:rPr>
          <w:tab/>
        </w:r>
        <w:r w:rsidR="00B70EC2">
          <w:rPr>
            <w:noProof/>
            <w:webHidden/>
          </w:rPr>
          <w:fldChar w:fldCharType="begin"/>
        </w:r>
        <w:r w:rsidR="00B70EC2">
          <w:rPr>
            <w:noProof/>
            <w:webHidden/>
          </w:rPr>
          <w:instrText xml:space="preserve"> PAGEREF _Toc166149269 \h </w:instrText>
        </w:r>
        <w:r w:rsidR="00B70EC2">
          <w:rPr>
            <w:noProof/>
            <w:webHidden/>
          </w:rPr>
        </w:r>
        <w:r w:rsidR="00B70EC2">
          <w:rPr>
            <w:noProof/>
            <w:webHidden/>
          </w:rPr>
          <w:fldChar w:fldCharType="separate"/>
        </w:r>
        <w:r w:rsidR="00B70EC2">
          <w:rPr>
            <w:noProof/>
            <w:webHidden/>
          </w:rPr>
          <w:t>50</w:t>
        </w:r>
        <w:r w:rsidR="00B70EC2">
          <w:rPr>
            <w:noProof/>
            <w:webHidden/>
          </w:rPr>
          <w:fldChar w:fldCharType="end"/>
        </w:r>
      </w:hyperlink>
    </w:p>
    <w:p w14:paraId="3343B560" w14:textId="01C2A4C4"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0" w:history="1">
        <w:r w:rsidR="00B70EC2" w:rsidRPr="00FE60E8">
          <w:rPr>
            <w:rStyle w:val="Hyperlink"/>
            <w:noProof/>
          </w:rPr>
          <w:t>Assets Leased to Others</w:t>
        </w:r>
        <w:r w:rsidR="00B70EC2">
          <w:rPr>
            <w:noProof/>
            <w:webHidden/>
          </w:rPr>
          <w:tab/>
        </w:r>
        <w:r w:rsidR="00B70EC2">
          <w:rPr>
            <w:noProof/>
            <w:webHidden/>
          </w:rPr>
          <w:fldChar w:fldCharType="begin"/>
        </w:r>
        <w:r w:rsidR="00B70EC2">
          <w:rPr>
            <w:noProof/>
            <w:webHidden/>
          </w:rPr>
          <w:instrText xml:space="preserve"> PAGEREF _Toc166149270 \h </w:instrText>
        </w:r>
        <w:r w:rsidR="00B70EC2">
          <w:rPr>
            <w:noProof/>
            <w:webHidden/>
          </w:rPr>
        </w:r>
        <w:r w:rsidR="00B70EC2">
          <w:rPr>
            <w:noProof/>
            <w:webHidden/>
          </w:rPr>
          <w:fldChar w:fldCharType="separate"/>
        </w:r>
        <w:r w:rsidR="00B70EC2">
          <w:rPr>
            <w:noProof/>
            <w:webHidden/>
          </w:rPr>
          <w:t>50</w:t>
        </w:r>
        <w:r w:rsidR="00B70EC2">
          <w:rPr>
            <w:noProof/>
            <w:webHidden/>
          </w:rPr>
          <w:fldChar w:fldCharType="end"/>
        </w:r>
      </w:hyperlink>
    </w:p>
    <w:p w14:paraId="4791E896" w14:textId="23A38FD5"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1" w:history="1">
        <w:r w:rsidR="00B70EC2" w:rsidRPr="00FE60E8">
          <w:rPr>
            <w:rStyle w:val="Hyperlink"/>
            <w:noProof/>
          </w:rPr>
          <w:t>Contingent Rentals Associated with Leases</w:t>
        </w:r>
        <w:r w:rsidR="00B70EC2">
          <w:rPr>
            <w:noProof/>
            <w:webHidden/>
          </w:rPr>
          <w:tab/>
        </w:r>
        <w:r w:rsidR="00B70EC2">
          <w:rPr>
            <w:noProof/>
            <w:webHidden/>
          </w:rPr>
          <w:fldChar w:fldCharType="begin"/>
        </w:r>
        <w:r w:rsidR="00B70EC2">
          <w:rPr>
            <w:noProof/>
            <w:webHidden/>
          </w:rPr>
          <w:instrText xml:space="preserve"> PAGEREF _Toc166149271 \h </w:instrText>
        </w:r>
        <w:r w:rsidR="00B70EC2">
          <w:rPr>
            <w:noProof/>
            <w:webHidden/>
          </w:rPr>
        </w:r>
        <w:r w:rsidR="00B70EC2">
          <w:rPr>
            <w:noProof/>
            <w:webHidden/>
          </w:rPr>
          <w:fldChar w:fldCharType="separate"/>
        </w:r>
        <w:r w:rsidR="00B70EC2">
          <w:rPr>
            <w:noProof/>
            <w:webHidden/>
          </w:rPr>
          <w:t>51</w:t>
        </w:r>
        <w:r w:rsidR="00B70EC2">
          <w:rPr>
            <w:noProof/>
            <w:webHidden/>
          </w:rPr>
          <w:fldChar w:fldCharType="end"/>
        </w:r>
      </w:hyperlink>
    </w:p>
    <w:p w14:paraId="43948B9F" w14:textId="0F33E3BC"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72" w:history="1">
        <w:r w:rsidR="00B70EC2" w:rsidRPr="00FE60E8">
          <w:rPr>
            <w:rStyle w:val="Hyperlink"/>
            <w:noProof/>
          </w:rPr>
          <w:t>Section _.10 Loans and Notes Receivable</w:t>
        </w:r>
        <w:r w:rsidR="00B70EC2">
          <w:rPr>
            <w:noProof/>
            <w:webHidden/>
          </w:rPr>
          <w:tab/>
        </w:r>
        <w:r w:rsidR="00B70EC2">
          <w:rPr>
            <w:noProof/>
            <w:webHidden/>
          </w:rPr>
          <w:fldChar w:fldCharType="begin"/>
        </w:r>
        <w:r w:rsidR="00B70EC2">
          <w:rPr>
            <w:noProof/>
            <w:webHidden/>
          </w:rPr>
          <w:instrText xml:space="preserve"> PAGEREF _Toc166149272 \h </w:instrText>
        </w:r>
        <w:r w:rsidR="00B70EC2">
          <w:rPr>
            <w:noProof/>
            <w:webHidden/>
          </w:rPr>
        </w:r>
        <w:r w:rsidR="00B70EC2">
          <w:rPr>
            <w:noProof/>
            <w:webHidden/>
          </w:rPr>
          <w:fldChar w:fldCharType="separate"/>
        </w:r>
        <w:r w:rsidR="00B70EC2">
          <w:rPr>
            <w:noProof/>
            <w:webHidden/>
          </w:rPr>
          <w:t>51</w:t>
        </w:r>
        <w:r w:rsidR="00B70EC2">
          <w:rPr>
            <w:noProof/>
            <w:webHidden/>
          </w:rPr>
          <w:fldChar w:fldCharType="end"/>
        </w:r>
      </w:hyperlink>
    </w:p>
    <w:p w14:paraId="34BD3764" w14:textId="5C556DD0"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73" w:history="1">
        <w:r w:rsidR="00B70EC2" w:rsidRPr="00FE60E8">
          <w:rPr>
            <w:rStyle w:val="Hyperlink"/>
            <w:noProof/>
          </w:rPr>
          <w:t>Section _.11 SBITA</w:t>
        </w:r>
        <w:r w:rsidR="00B70EC2">
          <w:rPr>
            <w:noProof/>
            <w:webHidden/>
          </w:rPr>
          <w:tab/>
        </w:r>
        <w:r w:rsidR="00B70EC2">
          <w:rPr>
            <w:noProof/>
            <w:webHidden/>
          </w:rPr>
          <w:fldChar w:fldCharType="begin"/>
        </w:r>
        <w:r w:rsidR="00B70EC2">
          <w:rPr>
            <w:noProof/>
            <w:webHidden/>
          </w:rPr>
          <w:instrText xml:space="preserve"> PAGEREF _Toc166149273 \h </w:instrText>
        </w:r>
        <w:r w:rsidR="00B70EC2">
          <w:rPr>
            <w:noProof/>
            <w:webHidden/>
          </w:rPr>
        </w:r>
        <w:r w:rsidR="00B70EC2">
          <w:rPr>
            <w:noProof/>
            <w:webHidden/>
          </w:rPr>
          <w:fldChar w:fldCharType="separate"/>
        </w:r>
        <w:r w:rsidR="00B70EC2">
          <w:rPr>
            <w:noProof/>
            <w:webHidden/>
          </w:rPr>
          <w:t>52</w:t>
        </w:r>
        <w:r w:rsidR="00B70EC2">
          <w:rPr>
            <w:noProof/>
            <w:webHidden/>
          </w:rPr>
          <w:fldChar w:fldCharType="end"/>
        </w:r>
      </w:hyperlink>
    </w:p>
    <w:p w14:paraId="5A02CEFE" w14:textId="46AC4122"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4" w:history="1">
        <w:r w:rsidR="00B70EC2" w:rsidRPr="00FE60E8">
          <w:rPr>
            <w:rStyle w:val="Hyperlink"/>
            <w:noProof/>
          </w:rPr>
          <w:t>Accounting for SBITAs</w:t>
        </w:r>
        <w:r w:rsidR="00B70EC2">
          <w:rPr>
            <w:noProof/>
            <w:webHidden/>
          </w:rPr>
          <w:tab/>
        </w:r>
        <w:r w:rsidR="00B70EC2">
          <w:rPr>
            <w:noProof/>
            <w:webHidden/>
          </w:rPr>
          <w:fldChar w:fldCharType="begin"/>
        </w:r>
        <w:r w:rsidR="00B70EC2">
          <w:rPr>
            <w:noProof/>
            <w:webHidden/>
          </w:rPr>
          <w:instrText xml:space="preserve"> PAGEREF _Toc166149274 \h </w:instrText>
        </w:r>
        <w:r w:rsidR="00B70EC2">
          <w:rPr>
            <w:noProof/>
            <w:webHidden/>
          </w:rPr>
        </w:r>
        <w:r w:rsidR="00B70EC2">
          <w:rPr>
            <w:noProof/>
            <w:webHidden/>
          </w:rPr>
          <w:fldChar w:fldCharType="separate"/>
        </w:r>
        <w:r w:rsidR="00B70EC2">
          <w:rPr>
            <w:noProof/>
            <w:webHidden/>
          </w:rPr>
          <w:t>53</w:t>
        </w:r>
        <w:r w:rsidR="00B70EC2">
          <w:rPr>
            <w:noProof/>
            <w:webHidden/>
          </w:rPr>
          <w:fldChar w:fldCharType="end"/>
        </w:r>
      </w:hyperlink>
    </w:p>
    <w:p w14:paraId="38CBD40B" w14:textId="0368262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5" w:history="1">
        <w:r w:rsidR="00B70EC2" w:rsidRPr="00FE60E8">
          <w:rPr>
            <w:rStyle w:val="Hyperlink"/>
            <w:noProof/>
          </w:rPr>
          <w:t>Five-Year Increments after the First Five Subsequent Fiscal Years</w:t>
        </w:r>
        <w:r w:rsidR="00B70EC2">
          <w:rPr>
            <w:noProof/>
            <w:webHidden/>
          </w:rPr>
          <w:tab/>
        </w:r>
        <w:r w:rsidR="00B70EC2">
          <w:rPr>
            <w:noProof/>
            <w:webHidden/>
          </w:rPr>
          <w:fldChar w:fldCharType="begin"/>
        </w:r>
        <w:r w:rsidR="00B70EC2">
          <w:rPr>
            <w:noProof/>
            <w:webHidden/>
          </w:rPr>
          <w:instrText xml:space="preserve"> PAGEREF _Toc166149275 \h </w:instrText>
        </w:r>
        <w:r w:rsidR="00B70EC2">
          <w:rPr>
            <w:noProof/>
            <w:webHidden/>
          </w:rPr>
        </w:r>
        <w:r w:rsidR="00B70EC2">
          <w:rPr>
            <w:noProof/>
            <w:webHidden/>
          </w:rPr>
          <w:fldChar w:fldCharType="separate"/>
        </w:r>
        <w:r w:rsidR="00B70EC2">
          <w:rPr>
            <w:noProof/>
            <w:webHidden/>
          </w:rPr>
          <w:t>53</w:t>
        </w:r>
        <w:r w:rsidR="00B70EC2">
          <w:rPr>
            <w:noProof/>
            <w:webHidden/>
          </w:rPr>
          <w:fldChar w:fldCharType="end"/>
        </w:r>
      </w:hyperlink>
    </w:p>
    <w:p w14:paraId="7E9287CE" w14:textId="7D5B15A7"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6" w:history="1">
        <w:r w:rsidR="00B70EC2" w:rsidRPr="00FE60E8">
          <w:rPr>
            <w:rStyle w:val="Hyperlink"/>
            <w:noProof/>
          </w:rPr>
          <w:t>Current Year Lease Payments</w:t>
        </w:r>
        <w:r w:rsidR="00B70EC2">
          <w:rPr>
            <w:noProof/>
            <w:webHidden/>
          </w:rPr>
          <w:tab/>
        </w:r>
        <w:r w:rsidR="00B70EC2">
          <w:rPr>
            <w:noProof/>
            <w:webHidden/>
          </w:rPr>
          <w:fldChar w:fldCharType="begin"/>
        </w:r>
        <w:r w:rsidR="00B70EC2">
          <w:rPr>
            <w:noProof/>
            <w:webHidden/>
          </w:rPr>
          <w:instrText xml:space="preserve"> PAGEREF _Toc166149276 \h </w:instrText>
        </w:r>
        <w:r w:rsidR="00B70EC2">
          <w:rPr>
            <w:noProof/>
            <w:webHidden/>
          </w:rPr>
        </w:r>
        <w:r w:rsidR="00B70EC2">
          <w:rPr>
            <w:noProof/>
            <w:webHidden/>
          </w:rPr>
          <w:fldChar w:fldCharType="separate"/>
        </w:r>
        <w:r w:rsidR="00B70EC2">
          <w:rPr>
            <w:noProof/>
            <w:webHidden/>
          </w:rPr>
          <w:t>53</w:t>
        </w:r>
        <w:r w:rsidR="00B70EC2">
          <w:rPr>
            <w:noProof/>
            <w:webHidden/>
          </w:rPr>
          <w:fldChar w:fldCharType="end"/>
        </w:r>
      </w:hyperlink>
    </w:p>
    <w:p w14:paraId="5670D38F" w14:textId="50F5F21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7" w:history="1">
        <w:r w:rsidR="00B70EC2" w:rsidRPr="00FE60E8">
          <w:rPr>
            <w:rStyle w:val="Hyperlink"/>
            <w:noProof/>
          </w:rPr>
          <w:t>Schedules of SBITAs</w:t>
        </w:r>
        <w:r w:rsidR="00B70EC2">
          <w:rPr>
            <w:noProof/>
            <w:webHidden/>
          </w:rPr>
          <w:tab/>
        </w:r>
        <w:r w:rsidR="00B70EC2">
          <w:rPr>
            <w:noProof/>
            <w:webHidden/>
          </w:rPr>
          <w:fldChar w:fldCharType="begin"/>
        </w:r>
        <w:r w:rsidR="00B70EC2">
          <w:rPr>
            <w:noProof/>
            <w:webHidden/>
          </w:rPr>
          <w:instrText xml:space="preserve"> PAGEREF _Toc166149277 \h </w:instrText>
        </w:r>
        <w:r w:rsidR="00B70EC2">
          <w:rPr>
            <w:noProof/>
            <w:webHidden/>
          </w:rPr>
        </w:r>
        <w:r w:rsidR="00B70EC2">
          <w:rPr>
            <w:noProof/>
            <w:webHidden/>
          </w:rPr>
          <w:fldChar w:fldCharType="separate"/>
        </w:r>
        <w:r w:rsidR="00B70EC2">
          <w:rPr>
            <w:noProof/>
            <w:webHidden/>
          </w:rPr>
          <w:t>54</w:t>
        </w:r>
        <w:r w:rsidR="00B70EC2">
          <w:rPr>
            <w:noProof/>
            <w:webHidden/>
          </w:rPr>
          <w:fldChar w:fldCharType="end"/>
        </w:r>
      </w:hyperlink>
    </w:p>
    <w:p w14:paraId="4170FA2D" w14:textId="4F0E1127"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8" w:history="1">
        <w:r w:rsidR="00B70EC2" w:rsidRPr="00FE60E8">
          <w:rPr>
            <w:rStyle w:val="Hyperlink"/>
            <w:noProof/>
          </w:rPr>
          <w:t>Assets Acquired under SBITAs</w:t>
        </w:r>
        <w:r w:rsidR="00B70EC2">
          <w:rPr>
            <w:noProof/>
            <w:webHidden/>
          </w:rPr>
          <w:tab/>
        </w:r>
        <w:r w:rsidR="00B70EC2">
          <w:rPr>
            <w:noProof/>
            <w:webHidden/>
          </w:rPr>
          <w:fldChar w:fldCharType="begin"/>
        </w:r>
        <w:r w:rsidR="00B70EC2">
          <w:rPr>
            <w:noProof/>
            <w:webHidden/>
          </w:rPr>
          <w:instrText xml:space="preserve"> PAGEREF _Toc166149278 \h </w:instrText>
        </w:r>
        <w:r w:rsidR="00B70EC2">
          <w:rPr>
            <w:noProof/>
            <w:webHidden/>
          </w:rPr>
        </w:r>
        <w:r w:rsidR="00B70EC2">
          <w:rPr>
            <w:noProof/>
            <w:webHidden/>
          </w:rPr>
          <w:fldChar w:fldCharType="separate"/>
        </w:r>
        <w:r w:rsidR="00B70EC2">
          <w:rPr>
            <w:noProof/>
            <w:webHidden/>
          </w:rPr>
          <w:t>54</w:t>
        </w:r>
        <w:r w:rsidR="00B70EC2">
          <w:rPr>
            <w:noProof/>
            <w:webHidden/>
          </w:rPr>
          <w:fldChar w:fldCharType="end"/>
        </w:r>
      </w:hyperlink>
    </w:p>
    <w:p w14:paraId="263A7966" w14:textId="10C15AC7"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79" w:history="1">
        <w:r w:rsidR="00B70EC2" w:rsidRPr="00FE60E8">
          <w:rPr>
            <w:rStyle w:val="Hyperlink"/>
            <w:noProof/>
          </w:rPr>
          <w:t>Contingent Payments Associated with SBITAs</w:t>
        </w:r>
        <w:r w:rsidR="00B70EC2">
          <w:rPr>
            <w:noProof/>
            <w:webHidden/>
          </w:rPr>
          <w:tab/>
        </w:r>
        <w:r w:rsidR="00B70EC2">
          <w:rPr>
            <w:noProof/>
            <w:webHidden/>
          </w:rPr>
          <w:fldChar w:fldCharType="begin"/>
        </w:r>
        <w:r w:rsidR="00B70EC2">
          <w:rPr>
            <w:noProof/>
            <w:webHidden/>
          </w:rPr>
          <w:instrText xml:space="preserve"> PAGEREF _Toc166149279 \h </w:instrText>
        </w:r>
        <w:r w:rsidR="00B70EC2">
          <w:rPr>
            <w:noProof/>
            <w:webHidden/>
          </w:rPr>
        </w:r>
        <w:r w:rsidR="00B70EC2">
          <w:rPr>
            <w:noProof/>
            <w:webHidden/>
          </w:rPr>
          <w:fldChar w:fldCharType="separate"/>
        </w:r>
        <w:r w:rsidR="00B70EC2">
          <w:rPr>
            <w:noProof/>
            <w:webHidden/>
          </w:rPr>
          <w:t>54</w:t>
        </w:r>
        <w:r w:rsidR="00B70EC2">
          <w:rPr>
            <w:noProof/>
            <w:webHidden/>
          </w:rPr>
          <w:fldChar w:fldCharType="end"/>
        </w:r>
      </w:hyperlink>
    </w:p>
    <w:p w14:paraId="2C500ADC" w14:textId="634DD326"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80" w:history="1">
        <w:r w:rsidR="00B70EC2" w:rsidRPr="00FE60E8">
          <w:rPr>
            <w:rStyle w:val="Hyperlink"/>
            <w:noProof/>
          </w:rPr>
          <w:t>Section _.12 Accounts Payable</w:t>
        </w:r>
        <w:r w:rsidR="00B70EC2">
          <w:rPr>
            <w:noProof/>
            <w:webHidden/>
          </w:rPr>
          <w:tab/>
        </w:r>
        <w:r w:rsidR="00B70EC2">
          <w:rPr>
            <w:noProof/>
            <w:webHidden/>
          </w:rPr>
          <w:fldChar w:fldCharType="begin"/>
        </w:r>
        <w:r w:rsidR="00B70EC2">
          <w:rPr>
            <w:noProof/>
            <w:webHidden/>
          </w:rPr>
          <w:instrText xml:space="preserve"> PAGEREF _Toc166149280 \h </w:instrText>
        </w:r>
        <w:r w:rsidR="00B70EC2">
          <w:rPr>
            <w:noProof/>
            <w:webHidden/>
          </w:rPr>
        </w:r>
        <w:r w:rsidR="00B70EC2">
          <w:rPr>
            <w:noProof/>
            <w:webHidden/>
          </w:rPr>
          <w:fldChar w:fldCharType="separate"/>
        </w:r>
        <w:r w:rsidR="00B70EC2">
          <w:rPr>
            <w:noProof/>
            <w:webHidden/>
          </w:rPr>
          <w:t>55</w:t>
        </w:r>
        <w:r w:rsidR="00B70EC2">
          <w:rPr>
            <w:noProof/>
            <w:webHidden/>
          </w:rPr>
          <w:fldChar w:fldCharType="end"/>
        </w:r>
      </w:hyperlink>
    </w:p>
    <w:p w14:paraId="15BD545E" w14:textId="18C9765A"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81" w:history="1">
        <w:r w:rsidR="00B70EC2" w:rsidRPr="00FE60E8">
          <w:rPr>
            <w:rStyle w:val="Hyperlink"/>
            <w:noProof/>
          </w:rPr>
          <w:t>Identification and Recognition of Liabilities</w:t>
        </w:r>
        <w:r w:rsidR="00B70EC2">
          <w:rPr>
            <w:noProof/>
            <w:webHidden/>
          </w:rPr>
          <w:tab/>
        </w:r>
        <w:r w:rsidR="00B70EC2">
          <w:rPr>
            <w:noProof/>
            <w:webHidden/>
          </w:rPr>
          <w:fldChar w:fldCharType="begin"/>
        </w:r>
        <w:r w:rsidR="00B70EC2">
          <w:rPr>
            <w:noProof/>
            <w:webHidden/>
          </w:rPr>
          <w:instrText xml:space="preserve"> PAGEREF _Toc166149281 \h </w:instrText>
        </w:r>
        <w:r w:rsidR="00B70EC2">
          <w:rPr>
            <w:noProof/>
            <w:webHidden/>
          </w:rPr>
        </w:r>
        <w:r w:rsidR="00B70EC2">
          <w:rPr>
            <w:noProof/>
            <w:webHidden/>
          </w:rPr>
          <w:fldChar w:fldCharType="separate"/>
        </w:r>
        <w:r w:rsidR="00B70EC2">
          <w:rPr>
            <w:noProof/>
            <w:webHidden/>
          </w:rPr>
          <w:t>57</w:t>
        </w:r>
        <w:r w:rsidR="00B70EC2">
          <w:rPr>
            <w:noProof/>
            <w:webHidden/>
          </w:rPr>
          <w:fldChar w:fldCharType="end"/>
        </w:r>
      </w:hyperlink>
    </w:p>
    <w:p w14:paraId="1B5A67B4" w14:textId="616BB4F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82" w:history="1">
        <w:r w:rsidR="00B70EC2" w:rsidRPr="00FE60E8">
          <w:rPr>
            <w:rStyle w:val="Hyperlink"/>
            <w:noProof/>
          </w:rPr>
          <w:t>Section _.13 Litigation</w:t>
        </w:r>
        <w:r w:rsidR="00B70EC2">
          <w:rPr>
            <w:noProof/>
            <w:webHidden/>
          </w:rPr>
          <w:tab/>
        </w:r>
        <w:r w:rsidR="00B70EC2">
          <w:rPr>
            <w:noProof/>
            <w:webHidden/>
          </w:rPr>
          <w:fldChar w:fldCharType="begin"/>
        </w:r>
        <w:r w:rsidR="00B70EC2">
          <w:rPr>
            <w:noProof/>
            <w:webHidden/>
          </w:rPr>
          <w:instrText xml:space="preserve"> PAGEREF _Toc166149282 \h </w:instrText>
        </w:r>
        <w:r w:rsidR="00B70EC2">
          <w:rPr>
            <w:noProof/>
            <w:webHidden/>
          </w:rPr>
        </w:r>
        <w:r w:rsidR="00B70EC2">
          <w:rPr>
            <w:noProof/>
            <w:webHidden/>
          </w:rPr>
          <w:fldChar w:fldCharType="separate"/>
        </w:r>
        <w:r w:rsidR="00B70EC2">
          <w:rPr>
            <w:noProof/>
            <w:webHidden/>
          </w:rPr>
          <w:t>58</w:t>
        </w:r>
        <w:r w:rsidR="00B70EC2">
          <w:rPr>
            <w:noProof/>
            <w:webHidden/>
          </w:rPr>
          <w:fldChar w:fldCharType="end"/>
        </w:r>
      </w:hyperlink>
    </w:p>
    <w:p w14:paraId="764917CA" w14:textId="0B4B577E"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83" w:history="1">
        <w:r w:rsidR="00B70EC2" w:rsidRPr="00FE60E8">
          <w:rPr>
            <w:rStyle w:val="Hyperlink"/>
            <w:noProof/>
          </w:rPr>
          <w:t>State Policies</w:t>
        </w:r>
        <w:r w:rsidR="00B70EC2">
          <w:rPr>
            <w:noProof/>
            <w:webHidden/>
          </w:rPr>
          <w:tab/>
        </w:r>
        <w:r w:rsidR="00B70EC2">
          <w:rPr>
            <w:noProof/>
            <w:webHidden/>
          </w:rPr>
          <w:fldChar w:fldCharType="begin"/>
        </w:r>
        <w:r w:rsidR="00B70EC2">
          <w:rPr>
            <w:noProof/>
            <w:webHidden/>
          </w:rPr>
          <w:instrText xml:space="preserve"> PAGEREF _Toc166149283 \h </w:instrText>
        </w:r>
        <w:r w:rsidR="00B70EC2">
          <w:rPr>
            <w:noProof/>
            <w:webHidden/>
          </w:rPr>
        </w:r>
        <w:r w:rsidR="00B70EC2">
          <w:rPr>
            <w:noProof/>
            <w:webHidden/>
          </w:rPr>
          <w:fldChar w:fldCharType="separate"/>
        </w:r>
        <w:r w:rsidR="00B70EC2">
          <w:rPr>
            <w:noProof/>
            <w:webHidden/>
          </w:rPr>
          <w:t>59</w:t>
        </w:r>
        <w:r w:rsidR="00B70EC2">
          <w:rPr>
            <w:noProof/>
            <w:webHidden/>
          </w:rPr>
          <w:fldChar w:fldCharType="end"/>
        </w:r>
      </w:hyperlink>
    </w:p>
    <w:p w14:paraId="6D229172" w14:textId="318881BC"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84" w:history="1">
        <w:r w:rsidR="00B70EC2" w:rsidRPr="00FE60E8">
          <w:rPr>
            <w:rStyle w:val="Hyperlink"/>
            <w:noProof/>
          </w:rPr>
          <w:t>Section _.14 Disallowances and Penalties</w:t>
        </w:r>
        <w:r w:rsidR="00B70EC2">
          <w:rPr>
            <w:noProof/>
            <w:webHidden/>
          </w:rPr>
          <w:tab/>
        </w:r>
        <w:r w:rsidR="00B70EC2">
          <w:rPr>
            <w:noProof/>
            <w:webHidden/>
          </w:rPr>
          <w:fldChar w:fldCharType="begin"/>
        </w:r>
        <w:r w:rsidR="00B70EC2">
          <w:rPr>
            <w:noProof/>
            <w:webHidden/>
          </w:rPr>
          <w:instrText xml:space="preserve"> PAGEREF _Toc166149284 \h </w:instrText>
        </w:r>
        <w:r w:rsidR="00B70EC2">
          <w:rPr>
            <w:noProof/>
            <w:webHidden/>
          </w:rPr>
        </w:r>
        <w:r w:rsidR="00B70EC2">
          <w:rPr>
            <w:noProof/>
            <w:webHidden/>
          </w:rPr>
          <w:fldChar w:fldCharType="separate"/>
        </w:r>
        <w:r w:rsidR="00B70EC2">
          <w:rPr>
            <w:noProof/>
            <w:webHidden/>
          </w:rPr>
          <w:t>60</w:t>
        </w:r>
        <w:r w:rsidR="00B70EC2">
          <w:rPr>
            <w:noProof/>
            <w:webHidden/>
          </w:rPr>
          <w:fldChar w:fldCharType="end"/>
        </w:r>
      </w:hyperlink>
    </w:p>
    <w:p w14:paraId="6232C65C" w14:textId="2521BA5B"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85" w:history="1">
        <w:r w:rsidR="00B70EC2" w:rsidRPr="00FE60E8">
          <w:rPr>
            <w:rStyle w:val="Hyperlink"/>
            <w:noProof/>
          </w:rPr>
          <w:t>Section _.15 Claims</w:t>
        </w:r>
        <w:r w:rsidR="00B70EC2">
          <w:rPr>
            <w:noProof/>
            <w:webHidden/>
          </w:rPr>
          <w:tab/>
        </w:r>
        <w:r w:rsidR="00B70EC2">
          <w:rPr>
            <w:noProof/>
            <w:webHidden/>
          </w:rPr>
          <w:fldChar w:fldCharType="begin"/>
        </w:r>
        <w:r w:rsidR="00B70EC2">
          <w:rPr>
            <w:noProof/>
            <w:webHidden/>
          </w:rPr>
          <w:instrText xml:space="preserve"> PAGEREF _Toc166149285 \h </w:instrText>
        </w:r>
        <w:r w:rsidR="00B70EC2">
          <w:rPr>
            <w:noProof/>
            <w:webHidden/>
          </w:rPr>
        </w:r>
        <w:r w:rsidR="00B70EC2">
          <w:rPr>
            <w:noProof/>
            <w:webHidden/>
          </w:rPr>
          <w:fldChar w:fldCharType="separate"/>
        </w:r>
        <w:r w:rsidR="00B70EC2">
          <w:rPr>
            <w:noProof/>
            <w:webHidden/>
          </w:rPr>
          <w:t>61</w:t>
        </w:r>
        <w:r w:rsidR="00B70EC2">
          <w:rPr>
            <w:noProof/>
            <w:webHidden/>
          </w:rPr>
          <w:fldChar w:fldCharType="end"/>
        </w:r>
      </w:hyperlink>
    </w:p>
    <w:p w14:paraId="50F0B2AE" w14:textId="640D5A4C"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86" w:history="1">
        <w:r w:rsidR="00B70EC2" w:rsidRPr="00FE60E8">
          <w:rPr>
            <w:rStyle w:val="Hyperlink"/>
            <w:noProof/>
          </w:rPr>
          <w:t>State Policies</w:t>
        </w:r>
        <w:r w:rsidR="00B70EC2">
          <w:rPr>
            <w:noProof/>
            <w:webHidden/>
          </w:rPr>
          <w:tab/>
        </w:r>
        <w:r w:rsidR="00B70EC2">
          <w:rPr>
            <w:noProof/>
            <w:webHidden/>
          </w:rPr>
          <w:fldChar w:fldCharType="begin"/>
        </w:r>
        <w:r w:rsidR="00B70EC2">
          <w:rPr>
            <w:noProof/>
            <w:webHidden/>
          </w:rPr>
          <w:instrText xml:space="preserve"> PAGEREF _Toc166149286 \h </w:instrText>
        </w:r>
        <w:r w:rsidR="00B70EC2">
          <w:rPr>
            <w:noProof/>
            <w:webHidden/>
          </w:rPr>
        </w:r>
        <w:r w:rsidR="00B70EC2">
          <w:rPr>
            <w:noProof/>
            <w:webHidden/>
          </w:rPr>
          <w:fldChar w:fldCharType="separate"/>
        </w:r>
        <w:r w:rsidR="00B70EC2">
          <w:rPr>
            <w:noProof/>
            <w:webHidden/>
          </w:rPr>
          <w:t>62</w:t>
        </w:r>
        <w:r w:rsidR="00B70EC2">
          <w:rPr>
            <w:noProof/>
            <w:webHidden/>
          </w:rPr>
          <w:fldChar w:fldCharType="end"/>
        </w:r>
      </w:hyperlink>
    </w:p>
    <w:p w14:paraId="3D038F55" w14:textId="4ED5686B"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87" w:history="1">
        <w:r w:rsidR="00B70EC2" w:rsidRPr="00FE60E8">
          <w:rPr>
            <w:rStyle w:val="Hyperlink"/>
            <w:noProof/>
          </w:rPr>
          <w:t>Section _.16 Miscellaneous Losses</w:t>
        </w:r>
        <w:r w:rsidR="00B70EC2">
          <w:rPr>
            <w:noProof/>
            <w:webHidden/>
          </w:rPr>
          <w:tab/>
        </w:r>
        <w:r w:rsidR="00B70EC2">
          <w:rPr>
            <w:noProof/>
            <w:webHidden/>
          </w:rPr>
          <w:fldChar w:fldCharType="begin"/>
        </w:r>
        <w:r w:rsidR="00B70EC2">
          <w:rPr>
            <w:noProof/>
            <w:webHidden/>
          </w:rPr>
          <w:instrText xml:space="preserve"> PAGEREF _Toc166149287 \h </w:instrText>
        </w:r>
        <w:r w:rsidR="00B70EC2">
          <w:rPr>
            <w:noProof/>
            <w:webHidden/>
          </w:rPr>
        </w:r>
        <w:r w:rsidR="00B70EC2">
          <w:rPr>
            <w:noProof/>
            <w:webHidden/>
          </w:rPr>
          <w:fldChar w:fldCharType="separate"/>
        </w:r>
        <w:r w:rsidR="00B70EC2">
          <w:rPr>
            <w:noProof/>
            <w:webHidden/>
          </w:rPr>
          <w:t>63</w:t>
        </w:r>
        <w:r w:rsidR="00B70EC2">
          <w:rPr>
            <w:noProof/>
            <w:webHidden/>
          </w:rPr>
          <w:fldChar w:fldCharType="end"/>
        </w:r>
      </w:hyperlink>
    </w:p>
    <w:p w14:paraId="4C9E8CB7" w14:textId="1A5D467D"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88" w:history="1">
        <w:r w:rsidR="00B70EC2" w:rsidRPr="00FE60E8">
          <w:rPr>
            <w:rStyle w:val="Hyperlink"/>
            <w:noProof/>
          </w:rPr>
          <w:t>Accounting Standards</w:t>
        </w:r>
        <w:r w:rsidR="00B70EC2">
          <w:rPr>
            <w:noProof/>
            <w:webHidden/>
          </w:rPr>
          <w:tab/>
        </w:r>
        <w:r w:rsidR="00B70EC2">
          <w:rPr>
            <w:noProof/>
            <w:webHidden/>
          </w:rPr>
          <w:fldChar w:fldCharType="begin"/>
        </w:r>
        <w:r w:rsidR="00B70EC2">
          <w:rPr>
            <w:noProof/>
            <w:webHidden/>
          </w:rPr>
          <w:instrText xml:space="preserve"> PAGEREF _Toc166149288 \h </w:instrText>
        </w:r>
        <w:r w:rsidR="00B70EC2">
          <w:rPr>
            <w:noProof/>
            <w:webHidden/>
          </w:rPr>
        </w:r>
        <w:r w:rsidR="00B70EC2">
          <w:rPr>
            <w:noProof/>
            <w:webHidden/>
          </w:rPr>
          <w:fldChar w:fldCharType="separate"/>
        </w:r>
        <w:r w:rsidR="00B70EC2">
          <w:rPr>
            <w:noProof/>
            <w:webHidden/>
          </w:rPr>
          <w:t>63</w:t>
        </w:r>
        <w:r w:rsidR="00B70EC2">
          <w:rPr>
            <w:noProof/>
            <w:webHidden/>
          </w:rPr>
          <w:fldChar w:fldCharType="end"/>
        </w:r>
      </w:hyperlink>
    </w:p>
    <w:p w14:paraId="79892457" w14:textId="46605217"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89" w:history="1">
        <w:r w:rsidR="00B70EC2" w:rsidRPr="00FE60E8">
          <w:rPr>
            <w:rStyle w:val="Hyperlink"/>
            <w:noProof/>
          </w:rPr>
          <w:t>Section _.17 Other Payroll Related Liabilities</w:t>
        </w:r>
        <w:r w:rsidR="00B70EC2">
          <w:rPr>
            <w:noProof/>
            <w:webHidden/>
          </w:rPr>
          <w:tab/>
        </w:r>
        <w:r w:rsidR="00B70EC2">
          <w:rPr>
            <w:noProof/>
            <w:webHidden/>
          </w:rPr>
          <w:fldChar w:fldCharType="begin"/>
        </w:r>
        <w:r w:rsidR="00B70EC2">
          <w:rPr>
            <w:noProof/>
            <w:webHidden/>
          </w:rPr>
          <w:instrText xml:space="preserve"> PAGEREF _Toc166149289 \h </w:instrText>
        </w:r>
        <w:r w:rsidR="00B70EC2">
          <w:rPr>
            <w:noProof/>
            <w:webHidden/>
          </w:rPr>
        </w:r>
        <w:r w:rsidR="00B70EC2">
          <w:rPr>
            <w:noProof/>
            <w:webHidden/>
          </w:rPr>
          <w:fldChar w:fldCharType="separate"/>
        </w:r>
        <w:r w:rsidR="00B70EC2">
          <w:rPr>
            <w:noProof/>
            <w:webHidden/>
          </w:rPr>
          <w:t>66</w:t>
        </w:r>
        <w:r w:rsidR="00B70EC2">
          <w:rPr>
            <w:noProof/>
            <w:webHidden/>
          </w:rPr>
          <w:fldChar w:fldCharType="end"/>
        </w:r>
      </w:hyperlink>
    </w:p>
    <w:p w14:paraId="1D4411F9" w14:textId="58228729"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90" w:history="1">
        <w:r w:rsidR="00B70EC2" w:rsidRPr="00FE60E8">
          <w:rPr>
            <w:rStyle w:val="Hyperlink"/>
            <w:noProof/>
          </w:rPr>
          <w:t>Compensated Absence Liability</w:t>
        </w:r>
        <w:r w:rsidR="00B70EC2">
          <w:rPr>
            <w:noProof/>
            <w:webHidden/>
          </w:rPr>
          <w:tab/>
        </w:r>
        <w:r w:rsidR="00B70EC2">
          <w:rPr>
            <w:noProof/>
            <w:webHidden/>
          </w:rPr>
          <w:fldChar w:fldCharType="begin"/>
        </w:r>
        <w:r w:rsidR="00B70EC2">
          <w:rPr>
            <w:noProof/>
            <w:webHidden/>
          </w:rPr>
          <w:instrText xml:space="preserve"> PAGEREF _Toc166149290 \h </w:instrText>
        </w:r>
        <w:r w:rsidR="00B70EC2">
          <w:rPr>
            <w:noProof/>
            <w:webHidden/>
          </w:rPr>
        </w:r>
        <w:r w:rsidR="00B70EC2">
          <w:rPr>
            <w:noProof/>
            <w:webHidden/>
          </w:rPr>
          <w:fldChar w:fldCharType="separate"/>
        </w:r>
        <w:r w:rsidR="00B70EC2">
          <w:rPr>
            <w:noProof/>
            <w:webHidden/>
          </w:rPr>
          <w:t>66</w:t>
        </w:r>
        <w:r w:rsidR="00B70EC2">
          <w:rPr>
            <w:noProof/>
            <w:webHidden/>
          </w:rPr>
          <w:fldChar w:fldCharType="end"/>
        </w:r>
      </w:hyperlink>
    </w:p>
    <w:p w14:paraId="57723461" w14:textId="11F3367A"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91" w:history="1">
        <w:r w:rsidR="00B70EC2" w:rsidRPr="00FE60E8">
          <w:rPr>
            <w:rStyle w:val="Hyperlink"/>
            <w:noProof/>
          </w:rPr>
          <w:t>Other Payroll Related Issues</w:t>
        </w:r>
        <w:r w:rsidR="00B70EC2">
          <w:rPr>
            <w:noProof/>
            <w:webHidden/>
          </w:rPr>
          <w:tab/>
        </w:r>
        <w:r w:rsidR="00B70EC2">
          <w:rPr>
            <w:noProof/>
            <w:webHidden/>
          </w:rPr>
          <w:fldChar w:fldCharType="begin"/>
        </w:r>
        <w:r w:rsidR="00B70EC2">
          <w:rPr>
            <w:noProof/>
            <w:webHidden/>
          </w:rPr>
          <w:instrText xml:space="preserve"> PAGEREF _Toc166149291 \h </w:instrText>
        </w:r>
        <w:r w:rsidR="00B70EC2">
          <w:rPr>
            <w:noProof/>
            <w:webHidden/>
          </w:rPr>
        </w:r>
        <w:r w:rsidR="00B70EC2">
          <w:rPr>
            <w:noProof/>
            <w:webHidden/>
          </w:rPr>
          <w:fldChar w:fldCharType="separate"/>
        </w:r>
        <w:r w:rsidR="00B70EC2">
          <w:rPr>
            <w:noProof/>
            <w:webHidden/>
          </w:rPr>
          <w:t>68</w:t>
        </w:r>
        <w:r w:rsidR="00B70EC2">
          <w:rPr>
            <w:noProof/>
            <w:webHidden/>
          </w:rPr>
          <w:fldChar w:fldCharType="end"/>
        </w:r>
      </w:hyperlink>
    </w:p>
    <w:p w14:paraId="53504C8C" w14:textId="346421EB"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92" w:history="1">
        <w:r w:rsidR="00B70EC2" w:rsidRPr="00FE60E8">
          <w:rPr>
            <w:rStyle w:val="Hyperlink"/>
            <w:noProof/>
          </w:rPr>
          <w:t>Section _.18 Interfund Payables &amp; Receivables</w:t>
        </w:r>
        <w:r w:rsidR="00B70EC2">
          <w:rPr>
            <w:noProof/>
            <w:webHidden/>
          </w:rPr>
          <w:tab/>
        </w:r>
        <w:r w:rsidR="00B70EC2">
          <w:rPr>
            <w:noProof/>
            <w:webHidden/>
          </w:rPr>
          <w:fldChar w:fldCharType="begin"/>
        </w:r>
        <w:r w:rsidR="00B70EC2">
          <w:rPr>
            <w:noProof/>
            <w:webHidden/>
          </w:rPr>
          <w:instrText xml:space="preserve"> PAGEREF _Toc166149292 \h </w:instrText>
        </w:r>
        <w:r w:rsidR="00B70EC2">
          <w:rPr>
            <w:noProof/>
            <w:webHidden/>
          </w:rPr>
        </w:r>
        <w:r w:rsidR="00B70EC2">
          <w:rPr>
            <w:noProof/>
            <w:webHidden/>
          </w:rPr>
          <w:fldChar w:fldCharType="separate"/>
        </w:r>
        <w:r w:rsidR="00B70EC2">
          <w:rPr>
            <w:noProof/>
            <w:webHidden/>
          </w:rPr>
          <w:t>68</w:t>
        </w:r>
        <w:r w:rsidR="00B70EC2">
          <w:rPr>
            <w:noProof/>
            <w:webHidden/>
          </w:rPr>
          <w:fldChar w:fldCharType="end"/>
        </w:r>
      </w:hyperlink>
    </w:p>
    <w:p w14:paraId="4A95727F" w14:textId="26C0BF7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93" w:history="1">
        <w:r w:rsidR="00B70EC2" w:rsidRPr="00FE60E8">
          <w:rPr>
            <w:rStyle w:val="Hyperlink"/>
            <w:noProof/>
          </w:rPr>
          <w:t>Section _.19 Reserved for Future Use.</w:t>
        </w:r>
        <w:r w:rsidR="00B70EC2">
          <w:rPr>
            <w:noProof/>
            <w:webHidden/>
          </w:rPr>
          <w:tab/>
        </w:r>
        <w:r w:rsidR="00B70EC2">
          <w:rPr>
            <w:noProof/>
            <w:webHidden/>
          </w:rPr>
          <w:fldChar w:fldCharType="begin"/>
        </w:r>
        <w:r w:rsidR="00B70EC2">
          <w:rPr>
            <w:noProof/>
            <w:webHidden/>
          </w:rPr>
          <w:instrText xml:space="preserve"> PAGEREF _Toc166149293 \h </w:instrText>
        </w:r>
        <w:r w:rsidR="00B70EC2">
          <w:rPr>
            <w:noProof/>
            <w:webHidden/>
          </w:rPr>
        </w:r>
        <w:r w:rsidR="00B70EC2">
          <w:rPr>
            <w:noProof/>
            <w:webHidden/>
          </w:rPr>
          <w:fldChar w:fldCharType="separate"/>
        </w:r>
        <w:r w:rsidR="00B70EC2">
          <w:rPr>
            <w:noProof/>
            <w:webHidden/>
          </w:rPr>
          <w:t>69</w:t>
        </w:r>
        <w:r w:rsidR="00B70EC2">
          <w:rPr>
            <w:noProof/>
            <w:webHidden/>
          </w:rPr>
          <w:fldChar w:fldCharType="end"/>
        </w:r>
      </w:hyperlink>
    </w:p>
    <w:p w14:paraId="62565198" w14:textId="33138875"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294" w:history="1">
        <w:r w:rsidR="00B70EC2" w:rsidRPr="00FE60E8">
          <w:rPr>
            <w:rStyle w:val="Hyperlink"/>
            <w:noProof/>
          </w:rPr>
          <w:t>Section _.20 Fund Balance and Net Assets</w:t>
        </w:r>
        <w:r w:rsidR="00B70EC2">
          <w:rPr>
            <w:noProof/>
            <w:webHidden/>
          </w:rPr>
          <w:tab/>
        </w:r>
        <w:r w:rsidR="00B70EC2">
          <w:rPr>
            <w:noProof/>
            <w:webHidden/>
          </w:rPr>
          <w:fldChar w:fldCharType="begin"/>
        </w:r>
        <w:r w:rsidR="00B70EC2">
          <w:rPr>
            <w:noProof/>
            <w:webHidden/>
          </w:rPr>
          <w:instrText xml:space="preserve"> PAGEREF _Toc166149294 \h </w:instrText>
        </w:r>
        <w:r w:rsidR="00B70EC2">
          <w:rPr>
            <w:noProof/>
            <w:webHidden/>
          </w:rPr>
        </w:r>
        <w:r w:rsidR="00B70EC2">
          <w:rPr>
            <w:noProof/>
            <w:webHidden/>
          </w:rPr>
          <w:fldChar w:fldCharType="separate"/>
        </w:r>
        <w:r w:rsidR="00B70EC2">
          <w:rPr>
            <w:noProof/>
            <w:webHidden/>
          </w:rPr>
          <w:t>69</w:t>
        </w:r>
        <w:r w:rsidR="00B70EC2">
          <w:rPr>
            <w:noProof/>
            <w:webHidden/>
          </w:rPr>
          <w:fldChar w:fldCharType="end"/>
        </w:r>
      </w:hyperlink>
    </w:p>
    <w:p w14:paraId="24851DCB" w14:textId="63717579"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95" w:history="1">
        <w:r w:rsidR="00B70EC2" w:rsidRPr="00FE60E8">
          <w:rPr>
            <w:rStyle w:val="Hyperlink"/>
            <w:noProof/>
          </w:rPr>
          <w:t>Classifications of Net Assets</w:t>
        </w:r>
        <w:r w:rsidR="00B70EC2">
          <w:rPr>
            <w:noProof/>
            <w:webHidden/>
          </w:rPr>
          <w:tab/>
        </w:r>
        <w:r w:rsidR="00B70EC2">
          <w:rPr>
            <w:noProof/>
            <w:webHidden/>
          </w:rPr>
          <w:fldChar w:fldCharType="begin"/>
        </w:r>
        <w:r w:rsidR="00B70EC2">
          <w:rPr>
            <w:noProof/>
            <w:webHidden/>
          </w:rPr>
          <w:instrText xml:space="preserve"> PAGEREF _Toc166149295 \h </w:instrText>
        </w:r>
        <w:r w:rsidR="00B70EC2">
          <w:rPr>
            <w:noProof/>
            <w:webHidden/>
          </w:rPr>
        </w:r>
        <w:r w:rsidR="00B70EC2">
          <w:rPr>
            <w:noProof/>
            <w:webHidden/>
          </w:rPr>
          <w:fldChar w:fldCharType="separate"/>
        </w:r>
        <w:r w:rsidR="00B70EC2">
          <w:rPr>
            <w:noProof/>
            <w:webHidden/>
          </w:rPr>
          <w:t>70</w:t>
        </w:r>
        <w:r w:rsidR="00B70EC2">
          <w:rPr>
            <w:noProof/>
            <w:webHidden/>
          </w:rPr>
          <w:fldChar w:fldCharType="end"/>
        </w:r>
      </w:hyperlink>
    </w:p>
    <w:p w14:paraId="21D4CBF7" w14:textId="0A988B60"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96" w:history="1">
        <w:r w:rsidR="00B70EC2" w:rsidRPr="00FE60E8">
          <w:rPr>
            <w:rStyle w:val="Hyperlink"/>
            <w:noProof/>
          </w:rPr>
          <w:t>Classifications of Governmental Fund Balance</w:t>
        </w:r>
        <w:r w:rsidR="00B70EC2">
          <w:rPr>
            <w:noProof/>
            <w:webHidden/>
          </w:rPr>
          <w:tab/>
        </w:r>
        <w:r w:rsidR="00B70EC2">
          <w:rPr>
            <w:noProof/>
            <w:webHidden/>
          </w:rPr>
          <w:fldChar w:fldCharType="begin"/>
        </w:r>
        <w:r w:rsidR="00B70EC2">
          <w:rPr>
            <w:noProof/>
            <w:webHidden/>
          </w:rPr>
          <w:instrText xml:space="preserve"> PAGEREF _Toc166149296 \h </w:instrText>
        </w:r>
        <w:r w:rsidR="00B70EC2">
          <w:rPr>
            <w:noProof/>
            <w:webHidden/>
          </w:rPr>
        </w:r>
        <w:r w:rsidR="00B70EC2">
          <w:rPr>
            <w:noProof/>
            <w:webHidden/>
          </w:rPr>
          <w:fldChar w:fldCharType="separate"/>
        </w:r>
        <w:r w:rsidR="00B70EC2">
          <w:rPr>
            <w:noProof/>
            <w:webHidden/>
          </w:rPr>
          <w:t>70</w:t>
        </w:r>
        <w:r w:rsidR="00B70EC2">
          <w:rPr>
            <w:noProof/>
            <w:webHidden/>
          </w:rPr>
          <w:fldChar w:fldCharType="end"/>
        </w:r>
      </w:hyperlink>
    </w:p>
    <w:p w14:paraId="7BA186B0" w14:textId="73C9CD0B" w:rsidR="00B70EC2" w:rsidRDefault="00EB6CFC">
      <w:pPr>
        <w:pStyle w:val="TOC3"/>
        <w:tabs>
          <w:tab w:val="right" w:leader="dot" w:pos="10214"/>
        </w:tabs>
        <w:rPr>
          <w:rFonts w:asciiTheme="minorHAnsi" w:eastAsiaTheme="minorEastAsia" w:hAnsiTheme="minorHAnsi" w:cstheme="minorBidi"/>
          <w:i w:val="0"/>
          <w:noProof/>
          <w:kern w:val="2"/>
          <w:sz w:val="22"/>
          <w:szCs w:val="22"/>
          <w14:ligatures w14:val="standardContextual"/>
        </w:rPr>
      </w:pPr>
      <w:hyperlink w:anchor="_Toc166149297" w:history="1">
        <w:r w:rsidR="00B70EC2" w:rsidRPr="00FE60E8">
          <w:rPr>
            <w:rStyle w:val="Hyperlink"/>
            <w:noProof/>
          </w:rPr>
          <w:t>Consumption of Revenue Resources with Constraints</w:t>
        </w:r>
        <w:r w:rsidR="00B70EC2">
          <w:rPr>
            <w:noProof/>
            <w:webHidden/>
          </w:rPr>
          <w:tab/>
        </w:r>
        <w:r w:rsidR="00B70EC2">
          <w:rPr>
            <w:noProof/>
            <w:webHidden/>
          </w:rPr>
          <w:fldChar w:fldCharType="begin"/>
        </w:r>
        <w:r w:rsidR="00B70EC2">
          <w:rPr>
            <w:noProof/>
            <w:webHidden/>
          </w:rPr>
          <w:instrText xml:space="preserve"> PAGEREF _Toc166149297 \h </w:instrText>
        </w:r>
        <w:r w:rsidR="00B70EC2">
          <w:rPr>
            <w:noProof/>
            <w:webHidden/>
          </w:rPr>
        </w:r>
        <w:r w:rsidR="00B70EC2">
          <w:rPr>
            <w:noProof/>
            <w:webHidden/>
          </w:rPr>
          <w:fldChar w:fldCharType="separate"/>
        </w:r>
        <w:r w:rsidR="00B70EC2">
          <w:rPr>
            <w:noProof/>
            <w:webHidden/>
          </w:rPr>
          <w:t>70</w:t>
        </w:r>
        <w:r w:rsidR="00B70EC2">
          <w:rPr>
            <w:noProof/>
            <w:webHidden/>
          </w:rPr>
          <w:fldChar w:fldCharType="end"/>
        </w:r>
      </w:hyperlink>
    </w:p>
    <w:p w14:paraId="7EB90478" w14:textId="618CBA52"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298" w:history="1">
        <w:r w:rsidR="00B70EC2" w:rsidRPr="00FE60E8">
          <w:rPr>
            <w:rStyle w:val="Hyperlink"/>
            <w:noProof/>
          </w:rPr>
          <w:t>PART IV GLOSSARY</w:t>
        </w:r>
        <w:r w:rsidR="00B70EC2">
          <w:rPr>
            <w:noProof/>
            <w:webHidden/>
          </w:rPr>
          <w:tab/>
        </w:r>
        <w:r w:rsidR="00B70EC2">
          <w:rPr>
            <w:noProof/>
            <w:webHidden/>
          </w:rPr>
          <w:fldChar w:fldCharType="begin"/>
        </w:r>
        <w:r w:rsidR="00B70EC2">
          <w:rPr>
            <w:noProof/>
            <w:webHidden/>
          </w:rPr>
          <w:instrText xml:space="preserve"> PAGEREF _Toc166149298 \h </w:instrText>
        </w:r>
        <w:r w:rsidR="00B70EC2">
          <w:rPr>
            <w:noProof/>
            <w:webHidden/>
          </w:rPr>
        </w:r>
        <w:r w:rsidR="00B70EC2">
          <w:rPr>
            <w:noProof/>
            <w:webHidden/>
          </w:rPr>
          <w:fldChar w:fldCharType="separate"/>
        </w:r>
        <w:r w:rsidR="00B70EC2">
          <w:rPr>
            <w:noProof/>
            <w:webHidden/>
          </w:rPr>
          <w:t>72</w:t>
        </w:r>
        <w:r w:rsidR="00B70EC2">
          <w:rPr>
            <w:noProof/>
            <w:webHidden/>
          </w:rPr>
          <w:fldChar w:fldCharType="end"/>
        </w:r>
      </w:hyperlink>
    </w:p>
    <w:p w14:paraId="1AED7D96" w14:textId="2012EE13"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299" w:history="1">
        <w:r w:rsidR="00B70EC2" w:rsidRPr="00FE60E8">
          <w:rPr>
            <w:rStyle w:val="Hyperlink"/>
            <w:noProof/>
          </w:rPr>
          <w:t>PART V EXHIBITS</w:t>
        </w:r>
        <w:r w:rsidR="00B70EC2">
          <w:rPr>
            <w:noProof/>
            <w:webHidden/>
          </w:rPr>
          <w:tab/>
        </w:r>
        <w:r w:rsidR="00B70EC2">
          <w:rPr>
            <w:noProof/>
            <w:webHidden/>
          </w:rPr>
          <w:fldChar w:fldCharType="begin"/>
        </w:r>
        <w:r w:rsidR="00B70EC2">
          <w:rPr>
            <w:noProof/>
            <w:webHidden/>
          </w:rPr>
          <w:instrText xml:space="preserve"> PAGEREF _Toc166149299 \h </w:instrText>
        </w:r>
        <w:r w:rsidR="00B70EC2">
          <w:rPr>
            <w:noProof/>
            <w:webHidden/>
          </w:rPr>
        </w:r>
        <w:r w:rsidR="00B70EC2">
          <w:rPr>
            <w:noProof/>
            <w:webHidden/>
          </w:rPr>
          <w:fldChar w:fldCharType="separate"/>
        </w:r>
        <w:r w:rsidR="00B70EC2">
          <w:rPr>
            <w:noProof/>
            <w:webHidden/>
          </w:rPr>
          <w:t>97</w:t>
        </w:r>
        <w:r w:rsidR="00B70EC2">
          <w:rPr>
            <w:noProof/>
            <w:webHidden/>
          </w:rPr>
          <w:fldChar w:fldCharType="end"/>
        </w:r>
      </w:hyperlink>
    </w:p>
    <w:p w14:paraId="23F79F10" w14:textId="46C577AC"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0" w:history="1">
        <w:r w:rsidR="00B70EC2" w:rsidRPr="00FE60E8">
          <w:rPr>
            <w:rStyle w:val="Hyperlink"/>
            <w:noProof/>
          </w:rPr>
          <w:t>EXHIBIT 3.6(A)</w:t>
        </w:r>
        <w:r w:rsidR="00B70EC2">
          <w:rPr>
            <w:noProof/>
            <w:webHidden/>
          </w:rPr>
          <w:tab/>
        </w:r>
        <w:r w:rsidR="00B70EC2">
          <w:rPr>
            <w:noProof/>
            <w:webHidden/>
          </w:rPr>
          <w:fldChar w:fldCharType="begin"/>
        </w:r>
        <w:r w:rsidR="00B70EC2">
          <w:rPr>
            <w:noProof/>
            <w:webHidden/>
          </w:rPr>
          <w:instrText xml:space="preserve"> PAGEREF _Toc166149300 \h </w:instrText>
        </w:r>
        <w:r w:rsidR="00B70EC2">
          <w:rPr>
            <w:noProof/>
            <w:webHidden/>
          </w:rPr>
        </w:r>
        <w:r w:rsidR="00B70EC2">
          <w:rPr>
            <w:noProof/>
            <w:webHidden/>
          </w:rPr>
          <w:fldChar w:fldCharType="separate"/>
        </w:r>
        <w:r w:rsidR="00B70EC2">
          <w:rPr>
            <w:noProof/>
            <w:webHidden/>
          </w:rPr>
          <w:t>97</w:t>
        </w:r>
        <w:r w:rsidR="00B70EC2">
          <w:rPr>
            <w:noProof/>
            <w:webHidden/>
          </w:rPr>
          <w:fldChar w:fldCharType="end"/>
        </w:r>
      </w:hyperlink>
    </w:p>
    <w:p w14:paraId="6D9DEBCC" w14:textId="2E832B01"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1" w:history="1">
        <w:r w:rsidR="00B70EC2" w:rsidRPr="00FE60E8">
          <w:rPr>
            <w:rStyle w:val="Hyperlink"/>
            <w:noProof/>
          </w:rPr>
          <w:t>EXHIBIT 3.6(B)</w:t>
        </w:r>
        <w:r w:rsidR="00B70EC2">
          <w:rPr>
            <w:noProof/>
            <w:webHidden/>
          </w:rPr>
          <w:tab/>
        </w:r>
        <w:r w:rsidR="00B70EC2">
          <w:rPr>
            <w:noProof/>
            <w:webHidden/>
          </w:rPr>
          <w:fldChar w:fldCharType="begin"/>
        </w:r>
        <w:r w:rsidR="00B70EC2">
          <w:rPr>
            <w:noProof/>
            <w:webHidden/>
          </w:rPr>
          <w:instrText xml:space="preserve"> PAGEREF _Toc166149301 \h </w:instrText>
        </w:r>
        <w:r w:rsidR="00B70EC2">
          <w:rPr>
            <w:noProof/>
            <w:webHidden/>
          </w:rPr>
        </w:r>
        <w:r w:rsidR="00B70EC2">
          <w:rPr>
            <w:noProof/>
            <w:webHidden/>
          </w:rPr>
          <w:fldChar w:fldCharType="separate"/>
        </w:r>
        <w:r w:rsidR="00B70EC2">
          <w:rPr>
            <w:noProof/>
            <w:webHidden/>
          </w:rPr>
          <w:t>101</w:t>
        </w:r>
        <w:r w:rsidR="00B70EC2">
          <w:rPr>
            <w:noProof/>
            <w:webHidden/>
          </w:rPr>
          <w:fldChar w:fldCharType="end"/>
        </w:r>
      </w:hyperlink>
    </w:p>
    <w:p w14:paraId="5E6BD9C8" w14:textId="325B1291"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2" w:history="1">
        <w:r w:rsidR="00B70EC2" w:rsidRPr="00FE60E8">
          <w:rPr>
            <w:rStyle w:val="Hyperlink"/>
            <w:noProof/>
          </w:rPr>
          <w:t>EXHIBIT 3.6(C)</w:t>
        </w:r>
        <w:r w:rsidR="00B70EC2">
          <w:rPr>
            <w:noProof/>
            <w:webHidden/>
          </w:rPr>
          <w:tab/>
        </w:r>
        <w:r w:rsidR="00B70EC2">
          <w:rPr>
            <w:noProof/>
            <w:webHidden/>
          </w:rPr>
          <w:fldChar w:fldCharType="begin"/>
        </w:r>
        <w:r w:rsidR="00B70EC2">
          <w:rPr>
            <w:noProof/>
            <w:webHidden/>
          </w:rPr>
          <w:instrText xml:space="preserve"> PAGEREF _Toc166149302 \h </w:instrText>
        </w:r>
        <w:r w:rsidR="00B70EC2">
          <w:rPr>
            <w:noProof/>
            <w:webHidden/>
          </w:rPr>
        </w:r>
        <w:r w:rsidR="00B70EC2">
          <w:rPr>
            <w:noProof/>
            <w:webHidden/>
          </w:rPr>
          <w:fldChar w:fldCharType="separate"/>
        </w:r>
        <w:r w:rsidR="00B70EC2">
          <w:rPr>
            <w:noProof/>
            <w:webHidden/>
          </w:rPr>
          <w:t>102</w:t>
        </w:r>
        <w:r w:rsidR="00B70EC2">
          <w:rPr>
            <w:noProof/>
            <w:webHidden/>
          </w:rPr>
          <w:fldChar w:fldCharType="end"/>
        </w:r>
      </w:hyperlink>
    </w:p>
    <w:p w14:paraId="6A8EC46A" w14:textId="13A18A5C"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3" w:history="1">
        <w:r w:rsidR="00B70EC2" w:rsidRPr="00FE60E8">
          <w:rPr>
            <w:rStyle w:val="Hyperlink"/>
            <w:noProof/>
          </w:rPr>
          <w:t>EXHIBIT 3.8(A)</w:t>
        </w:r>
        <w:r w:rsidR="00B70EC2">
          <w:rPr>
            <w:noProof/>
            <w:webHidden/>
          </w:rPr>
          <w:tab/>
        </w:r>
        <w:r w:rsidR="00B70EC2">
          <w:rPr>
            <w:noProof/>
            <w:webHidden/>
          </w:rPr>
          <w:fldChar w:fldCharType="begin"/>
        </w:r>
        <w:r w:rsidR="00B70EC2">
          <w:rPr>
            <w:noProof/>
            <w:webHidden/>
          </w:rPr>
          <w:instrText xml:space="preserve"> PAGEREF _Toc166149303 \h </w:instrText>
        </w:r>
        <w:r w:rsidR="00B70EC2">
          <w:rPr>
            <w:noProof/>
            <w:webHidden/>
          </w:rPr>
        </w:r>
        <w:r w:rsidR="00B70EC2">
          <w:rPr>
            <w:noProof/>
            <w:webHidden/>
          </w:rPr>
          <w:fldChar w:fldCharType="separate"/>
        </w:r>
        <w:r w:rsidR="00B70EC2">
          <w:rPr>
            <w:noProof/>
            <w:webHidden/>
          </w:rPr>
          <w:t>103</w:t>
        </w:r>
        <w:r w:rsidR="00B70EC2">
          <w:rPr>
            <w:noProof/>
            <w:webHidden/>
          </w:rPr>
          <w:fldChar w:fldCharType="end"/>
        </w:r>
      </w:hyperlink>
    </w:p>
    <w:p w14:paraId="021212E5" w14:textId="3CBE5B14"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4" w:history="1">
        <w:r w:rsidR="00B70EC2" w:rsidRPr="00FE60E8">
          <w:rPr>
            <w:rStyle w:val="Hyperlink"/>
            <w:noProof/>
          </w:rPr>
          <w:t>EXHIBIT 3.8 (B)</w:t>
        </w:r>
        <w:r w:rsidR="00B70EC2">
          <w:rPr>
            <w:noProof/>
            <w:webHidden/>
          </w:rPr>
          <w:tab/>
        </w:r>
        <w:r w:rsidR="00B70EC2">
          <w:rPr>
            <w:noProof/>
            <w:webHidden/>
          </w:rPr>
          <w:fldChar w:fldCharType="begin"/>
        </w:r>
        <w:r w:rsidR="00B70EC2">
          <w:rPr>
            <w:noProof/>
            <w:webHidden/>
          </w:rPr>
          <w:instrText xml:space="preserve"> PAGEREF _Toc166149304 \h </w:instrText>
        </w:r>
        <w:r w:rsidR="00B70EC2">
          <w:rPr>
            <w:noProof/>
            <w:webHidden/>
          </w:rPr>
        </w:r>
        <w:r w:rsidR="00B70EC2">
          <w:rPr>
            <w:noProof/>
            <w:webHidden/>
          </w:rPr>
          <w:fldChar w:fldCharType="separate"/>
        </w:r>
        <w:r w:rsidR="00B70EC2">
          <w:rPr>
            <w:noProof/>
            <w:webHidden/>
          </w:rPr>
          <w:t>105</w:t>
        </w:r>
        <w:r w:rsidR="00B70EC2">
          <w:rPr>
            <w:noProof/>
            <w:webHidden/>
          </w:rPr>
          <w:fldChar w:fldCharType="end"/>
        </w:r>
      </w:hyperlink>
    </w:p>
    <w:p w14:paraId="0A6B7C63" w14:textId="20E94039"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5" w:history="1">
        <w:r w:rsidR="00B70EC2" w:rsidRPr="00FE60E8">
          <w:rPr>
            <w:rStyle w:val="Hyperlink"/>
            <w:noProof/>
          </w:rPr>
          <w:t>EXHIBIT 3.12 (A)</w:t>
        </w:r>
        <w:r w:rsidR="00B70EC2">
          <w:rPr>
            <w:noProof/>
            <w:webHidden/>
          </w:rPr>
          <w:tab/>
        </w:r>
        <w:r w:rsidR="00B70EC2">
          <w:rPr>
            <w:noProof/>
            <w:webHidden/>
          </w:rPr>
          <w:fldChar w:fldCharType="begin"/>
        </w:r>
        <w:r w:rsidR="00B70EC2">
          <w:rPr>
            <w:noProof/>
            <w:webHidden/>
          </w:rPr>
          <w:instrText xml:space="preserve"> PAGEREF _Toc166149305 \h </w:instrText>
        </w:r>
        <w:r w:rsidR="00B70EC2">
          <w:rPr>
            <w:noProof/>
            <w:webHidden/>
          </w:rPr>
        </w:r>
        <w:r w:rsidR="00B70EC2">
          <w:rPr>
            <w:noProof/>
            <w:webHidden/>
          </w:rPr>
          <w:fldChar w:fldCharType="separate"/>
        </w:r>
        <w:r w:rsidR="00B70EC2">
          <w:rPr>
            <w:noProof/>
            <w:webHidden/>
          </w:rPr>
          <w:t>107</w:t>
        </w:r>
        <w:r w:rsidR="00B70EC2">
          <w:rPr>
            <w:noProof/>
            <w:webHidden/>
          </w:rPr>
          <w:fldChar w:fldCharType="end"/>
        </w:r>
      </w:hyperlink>
    </w:p>
    <w:p w14:paraId="588FA75A" w14:textId="46609065"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306" w:history="1">
        <w:r w:rsidR="00B70EC2" w:rsidRPr="00FE60E8">
          <w:rPr>
            <w:rStyle w:val="Hyperlink"/>
            <w:noProof/>
          </w:rPr>
          <w:t>PART VI EXAMPLES</w:t>
        </w:r>
        <w:r w:rsidR="00B70EC2">
          <w:rPr>
            <w:noProof/>
            <w:webHidden/>
          </w:rPr>
          <w:tab/>
        </w:r>
        <w:r w:rsidR="00B70EC2">
          <w:rPr>
            <w:noProof/>
            <w:webHidden/>
          </w:rPr>
          <w:fldChar w:fldCharType="begin"/>
        </w:r>
        <w:r w:rsidR="00B70EC2">
          <w:rPr>
            <w:noProof/>
            <w:webHidden/>
          </w:rPr>
          <w:instrText xml:space="preserve"> PAGEREF _Toc166149306 \h </w:instrText>
        </w:r>
        <w:r w:rsidR="00B70EC2">
          <w:rPr>
            <w:noProof/>
            <w:webHidden/>
          </w:rPr>
        </w:r>
        <w:r w:rsidR="00B70EC2">
          <w:rPr>
            <w:noProof/>
            <w:webHidden/>
          </w:rPr>
          <w:fldChar w:fldCharType="separate"/>
        </w:r>
        <w:r w:rsidR="00B70EC2">
          <w:rPr>
            <w:noProof/>
            <w:webHidden/>
          </w:rPr>
          <w:t>109</w:t>
        </w:r>
        <w:r w:rsidR="00B70EC2">
          <w:rPr>
            <w:noProof/>
            <w:webHidden/>
          </w:rPr>
          <w:fldChar w:fldCharType="end"/>
        </w:r>
      </w:hyperlink>
    </w:p>
    <w:p w14:paraId="1A13F9CF" w14:textId="487E92A7"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307" w:history="1">
        <w:r w:rsidR="00B70EC2" w:rsidRPr="00FE60E8">
          <w:rPr>
            <w:rStyle w:val="Hyperlink"/>
            <w:noProof/>
          </w:rPr>
          <w:t>EXAMPLE 3.2(A) Tax Revenue Categorized</w:t>
        </w:r>
        <w:r w:rsidR="00B70EC2">
          <w:rPr>
            <w:noProof/>
            <w:webHidden/>
          </w:rPr>
          <w:tab/>
        </w:r>
        <w:r w:rsidR="00B70EC2">
          <w:rPr>
            <w:noProof/>
            <w:webHidden/>
          </w:rPr>
          <w:fldChar w:fldCharType="begin"/>
        </w:r>
        <w:r w:rsidR="00B70EC2">
          <w:rPr>
            <w:noProof/>
            <w:webHidden/>
          </w:rPr>
          <w:instrText xml:space="preserve"> PAGEREF _Toc166149307 \h </w:instrText>
        </w:r>
        <w:r w:rsidR="00B70EC2">
          <w:rPr>
            <w:noProof/>
            <w:webHidden/>
          </w:rPr>
        </w:r>
        <w:r w:rsidR="00B70EC2">
          <w:rPr>
            <w:noProof/>
            <w:webHidden/>
          </w:rPr>
          <w:fldChar w:fldCharType="separate"/>
        </w:r>
        <w:r w:rsidR="00B70EC2">
          <w:rPr>
            <w:noProof/>
            <w:webHidden/>
          </w:rPr>
          <w:t>110</w:t>
        </w:r>
        <w:r w:rsidR="00B70EC2">
          <w:rPr>
            <w:noProof/>
            <w:webHidden/>
          </w:rPr>
          <w:fldChar w:fldCharType="end"/>
        </w:r>
      </w:hyperlink>
    </w:p>
    <w:p w14:paraId="0B6347C1" w14:textId="5A3D032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8" w:history="1">
        <w:r w:rsidR="00B70EC2" w:rsidRPr="00FE60E8">
          <w:rPr>
            <w:rStyle w:val="Hyperlink"/>
            <w:noProof/>
          </w:rPr>
          <w:t>EXAMPLE 3.2(B) Transactions-Tax Revenue</w:t>
        </w:r>
        <w:r w:rsidR="00B70EC2">
          <w:rPr>
            <w:noProof/>
            <w:webHidden/>
          </w:rPr>
          <w:tab/>
        </w:r>
        <w:r w:rsidR="00B70EC2">
          <w:rPr>
            <w:noProof/>
            <w:webHidden/>
          </w:rPr>
          <w:fldChar w:fldCharType="begin"/>
        </w:r>
        <w:r w:rsidR="00B70EC2">
          <w:rPr>
            <w:noProof/>
            <w:webHidden/>
          </w:rPr>
          <w:instrText xml:space="preserve"> PAGEREF _Toc166149308 \h </w:instrText>
        </w:r>
        <w:r w:rsidR="00B70EC2">
          <w:rPr>
            <w:noProof/>
            <w:webHidden/>
          </w:rPr>
        </w:r>
        <w:r w:rsidR="00B70EC2">
          <w:rPr>
            <w:noProof/>
            <w:webHidden/>
          </w:rPr>
          <w:fldChar w:fldCharType="separate"/>
        </w:r>
        <w:r w:rsidR="00B70EC2">
          <w:rPr>
            <w:noProof/>
            <w:webHidden/>
          </w:rPr>
          <w:t>114</w:t>
        </w:r>
        <w:r w:rsidR="00B70EC2">
          <w:rPr>
            <w:noProof/>
            <w:webHidden/>
          </w:rPr>
          <w:fldChar w:fldCharType="end"/>
        </w:r>
      </w:hyperlink>
    </w:p>
    <w:p w14:paraId="7AC46A83" w14:textId="0C6CE56D"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09" w:history="1">
        <w:r w:rsidR="00B70EC2" w:rsidRPr="00FE60E8">
          <w:rPr>
            <w:rStyle w:val="Hyperlink"/>
            <w:noProof/>
          </w:rPr>
          <w:t>EXAMPLE 3.3(A) Transactional - Grants</w:t>
        </w:r>
        <w:r w:rsidR="00B70EC2">
          <w:rPr>
            <w:noProof/>
            <w:webHidden/>
          </w:rPr>
          <w:tab/>
        </w:r>
        <w:r w:rsidR="00B70EC2">
          <w:rPr>
            <w:noProof/>
            <w:webHidden/>
          </w:rPr>
          <w:fldChar w:fldCharType="begin"/>
        </w:r>
        <w:r w:rsidR="00B70EC2">
          <w:rPr>
            <w:noProof/>
            <w:webHidden/>
          </w:rPr>
          <w:instrText xml:space="preserve"> PAGEREF _Toc166149309 \h </w:instrText>
        </w:r>
        <w:r w:rsidR="00B70EC2">
          <w:rPr>
            <w:noProof/>
            <w:webHidden/>
          </w:rPr>
        </w:r>
        <w:r w:rsidR="00B70EC2">
          <w:rPr>
            <w:noProof/>
            <w:webHidden/>
          </w:rPr>
          <w:fldChar w:fldCharType="separate"/>
        </w:r>
        <w:r w:rsidR="00B70EC2">
          <w:rPr>
            <w:noProof/>
            <w:webHidden/>
          </w:rPr>
          <w:t>115</w:t>
        </w:r>
        <w:r w:rsidR="00B70EC2">
          <w:rPr>
            <w:noProof/>
            <w:webHidden/>
          </w:rPr>
          <w:fldChar w:fldCharType="end"/>
        </w:r>
      </w:hyperlink>
    </w:p>
    <w:p w14:paraId="5C3714A8" w14:textId="565186B2"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0" w:history="1">
        <w:r w:rsidR="00B70EC2" w:rsidRPr="00FE60E8">
          <w:rPr>
            <w:rStyle w:val="Hyperlink"/>
            <w:noProof/>
          </w:rPr>
          <w:t>EXAMPLE 3.8(A) Transactional – Assets transferred</w:t>
        </w:r>
        <w:r w:rsidR="00B70EC2">
          <w:rPr>
            <w:noProof/>
            <w:webHidden/>
          </w:rPr>
          <w:tab/>
        </w:r>
        <w:r w:rsidR="00B70EC2">
          <w:rPr>
            <w:noProof/>
            <w:webHidden/>
          </w:rPr>
          <w:fldChar w:fldCharType="begin"/>
        </w:r>
        <w:r w:rsidR="00B70EC2">
          <w:rPr>
            <w:noProof/>
            <w:webHidden/>
          </w:rPr>
          <w:instrText xml:space="preserve"> PAGEREF _Toc166149310 \h </w:instrText>
        </w:r>
        <w:r w:rsidR="00B70EC2">
          <w:rPr>
            <w:noProof/>
            <w:webHidden/>
          </w:rPr>
        </w:r>
        <w:r w:rsidR="00B70EC2">
          <w:rPr>
            <w:noProof/>
            <w:webHidden/>
          </w:rPr>
          <w:fldChar w:fldCharType="separate"/>
        </w:r>
        <w:r w:rsidR="00B70EC2">
          <w:rPr>
            <w:noProof/>
            <w:webHidden/>
          </w:rPr>
          <w:t>116</w:t>
        </w:r>
        <w:r w:rsidR="00B70EC2">
          <w:rPr>
            <w:noProof/>
            <w:webHidden/>
          </w:rPr>
          <w:fldChar w:fldCharType="end"/>
        </w:r>
      </w:hyperlink>
    </w:p>
    <w:p w14:paraId="48204E9E" w14:textId="23698204" w:rsidR="00B70EC2" w:rsidRDefault="00EB6CFC">
      <w:pPr>
        <w:pStyle w:val="TOC1"/>
        <w:tabs>
          <w:tab w:val="right" w:leader="dot" w:pos="10214"/>
        </w:tabs>
        <w:rPr>
          <w:rFonts w:asciiTheme="minorHAnsi" w:eastAsiaTheme="minorEastAsia" w:hAnsiTheme="minorHAnsi" w:cstheme="minorBidi"/>
          <w:b w:val="0"/>
          <w:noProof/>
          <w:kern w:val="2"/>
          <w:sz w:val="22"/>
          <w:szCs w:val="22"/>
          <w14:ligatures w14:val="standardContextual"/>
        </w:rPr>
      </w:pPr>
      <w:hyperlink w:anchor="_Toc166149311" w:history="1">
        <w:r w:rsidR="00B70EC2" w:rsidRPr="00FE60E8">
          <w:rPr>
            <w:rStyle w:val="Hyperlink"/>
            <w:noProof/>
          </w:rPr>
          <w:t>PART VII APPENDICES</w:t>
        </w:r>
        <w:r w:rsidR="00B70EC2">
          <w:rPr>
            <w:noProof/>
            <w:webHidden/>
          </w:rPr>
          <w:tab/>
        </w:r>
        <w:r w:rsidR="00B70EC2">
          <w:rPr>
            <w:noProof/>
            <w:webHidden/>
          </w:rPr>
          <w:fldChar w:fldCharType="begin"/>
        </w:r>
        <w:r w:rsidR="00B70EC2">
          <w:rPr>
            <w:noProof/>
            <w:webHidden/>
          </w:rPr>
          <w:instrText xml:space="preserve"> PAGEREF _Toc166149311 \h </w:instrText>
        </w:r>
        <w:r w:rsidR="00B70EC2">
          <w:rPr>
            <w:noProof/>
            <w:webHidden/>
          </w:rPr>
        </w:r>
        <w:r w:rsidR="00B70EC2">
          <w:rPr>
            <w:noProof/>
            <w:webHidden/>
          </w:rPr>
          <w:fldChar w:fldCharType="separate"/>
        </w:r>
        <w:r w:rsidR="00B70EC2">
          <w:rPr>
            <w:noProof/>
            <w:webHidden/>
          </w:rPr>
          <w:t>117</w:t>
        </w:r>
        <w:r w:rsidR="00B70EC2">
          <w:rPr>
            <w:noProof/>
            <w:webHidden/>
          </w:rPr>
          <w:fldChar w:fldCharType="end"/>
        </w:r>
      </w:hyperlink>
    </w:p>
    <w:p w14:paraId="1A74D838" w14:textId="14E32103"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2" w:history="1">
        <w:r w:rsidR="00B70EC2" w:rsidRPr="00FE60E8">
          <w:rPr>
            <w:rStyle w:val="Hyperlink"/>
            <w:noProof/>
          </w:rPr>
          <w:t>APPENDIX A—SOURCES OF GAAP</w:t>
        </w:r>
        <w:r w:rsidR="00B70EC2">
          <w:rPr>
            <w:noProof/>
            <w:webHidden/>
          </w:rPr>
          <w:tab/>
        </w:r>
        <w:r w:rsidR="00B70EC2">
          <w:rPr>
            <w:noProof/>
            <w:webHidden/>
          </w:rPr>
          <w:fldChar w:fldCharType="begin"/>
        </w:r>
        <w:r w:rsidR="00B70EC2">
          <w:rPr>
            <w:noProof/>
            <w:webHidden/>
          </w:rPr>
          <w:instrText xml:space="preserve"> PAGEREF _Toc166149312 \h </w:instrText>
        </w:r>
        <w:r w:rsidR="00B70EC2">
          <w:rPr>
            <w:noProof/>
            <w:webHidden/>
          </w:rPr>
        </w:r>
        <w:r w:rsidR="00B70EC2">
          <w:rPr>
            <w:noProof/>
            <w:webHidden/>
          </w:rPr>
          <w:fldChar w:fldCharType="separate"/>
        </w:r>
        <w:r w:rsidR="00B70EC2">
          <w:rPr>
            <w:noProof/>
            <w:webHidden/>
          </w:rPr>
          <w:t>117</w:t>
        </w:r>
        <w:r w:rsidR="00B70EC2">
          <w:rPr>
            <w:noProof/>
            <w:webHidden/>
          </w:rPr>
          <w:fldChar w:fldCharType="end"/>
        </w:r>
      </w:hyperlink>
    </w:p>
    <w:p w14:paraId="0F97A780" w14:textId="5735EBEE"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3" w:history="1">
        <w:r w:rsidR="00B70EC2" w:rsidRPr="00FE60E8">
          <w:rPr>
            <w:rStyle w:val="Hyperlink"/>
            <w:noProof/>
          </w:rPr>
          <w:t>APPENDIX B— BUSINESS AREA RELATION TO FUNCTIONAL REPORTING</w:t>
        </w:r>
        <w:r w:rsidR="00B70EC2">
          <w:rPr>
            <w:noProof/>
            <w:webHidden/>
          </w:rPr>
          <w:tab/>
        </w:r>
        <w:r w:rsidR="00B70EC2">
          <w:rPr>
            <w:noProof/>
            <w:webHidden/>
          </w:rPr>
          <w:fldChar w:fldCharType="begin"/>
        </w:r>
        <w:r w:rsidR="00B70EC2">
          <w:rPr>
            <w:noProof/>
            <w:webHidden/>
          </w:rPr>
          <w:instrText xml:space="preserve"> PAGEREF _Toc166149313 \h </w:instrText>
        </w:r>
        <w:r w:rsidR="00B70EC2">
          <w:rPr>
            <w:noProof/>
            <w:webHidden/>
          </w:rPr>
        </w:r>
        <w:r w:rsidR="00B70EC2">
          <w:rPr>
            <w:noProof/>
            <w:webHidden/>
          </w:rPr>
          <w:fldChar w:fldCharType="separate"/>
        </w:r>
        <w:r w:rsidR="00B70EC2">
          <w:rPr>
            <w:noProof/>
            <w:webHidden/>
          </w:rPr>
          <w:t>119</w:t>
        </w:r>
        <w:r w:rsidR="00B70EC2">
          <w:rPr>
            <w:noProof/>
            <w:webHidden/>
          </w:rPr>
          <w:fldChar w:fldCharType="end"/>
        </w:r>
      </w:hyperlink>
    </w:p>
    <w:p w14:paraId="48019418" w14:textId="6923F24B"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4" w:history="1">
        <w:r w:rsidR="00B70EC2" w:rsidRPr="00FE60E8">
          <w:rPr>
            <w:rStyle w:val="Hyperlink"/>
            <w:noProof/>
          </w:rPr>
          <w:t>APPENDIX C— STATE RISK MANAGEMENT ACTIVITIES</w:t>
        </w:r>
        <w:r w:rsidR="00B70EC2">
          <w:rPr>
            <w:noProof/>
            <w:webHidden/>
          </w:rPr>
          <w:tab/>
        </w:r>
        <w:r w:rsidR="00B70EC2">
          <w:rPr>
            <w:noProof/>
            <w:webHidden/>
          </w:rPr>
          <w:fldChar w:fldCharType="begin"/>
        </w:r>
        <w:r w:rsidR="00B70EC2">
          <w:rPr>
            <w:noProof/>
            <w:webHidden/>
          </w:rPr>
          <w:instrText xml:space="preserve"> PAGEREF _Toc166149314 \h </w:instrText>
        </w:r>
        <w:r w:rsidR="00B70EC2">
          <w:rPr>
            <w:noProof/>
            <w:webHidden/>
          </w:rPr>
        </w:r>
        <w:r w:rsidR="00B70EC2">
          <w:rPr>
            <w:noProof/>
            <w:webHidden/>
          </w:rPr>
          <w:fldChar w:fldCharType="separate"/>
        </w:r>
        <w:r w:rsidR="00B70EC2">
          <w:rPr>
            <w:noProof/>
            <w:webHidden/>
          </w:rPr>
          <w:t>120</w:t>
        </w:r>
        <w:r w:rsidR="00B70EC2">
          <w:rPr>
            <w:noProof/>
            <w:webHidden/>
          </w:rPr>
          <w:fldChar w:fldCharType="end"/>
        </w:r>
      </w:hyperlink>
    </w:p>
    <w:p w14:paraId="7F9B3834" w14:textId="5D3780F6"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5" w:history="1">
        <w:r w:rsidR="00B70EC2" w:rsidRPr="00FE60E8">
          <w:rPr>
            <w:rStyle w:val="Hyperlink"/>
            <w:noProof/>
          </w:rPr>
          <w:t>APPENDIX D— STATE’S FINANCIAL REPORTING ENTITY</w:t>
        </w:r>
        <w:r w:rsidR="00B70EC2">
          <w:rPr>
            <w:noProof/>
            <w:webHidden/>
          </w:rPr>
          <w:tab/>
        </w:r>
        <w:r w:rsidR="00B70EC2">
          <w:rPr>
            <w:noProof/>
            <w:webHidden/>
          </w:rPr>
          <w:fldChar w:fldCharType="begin"/>
        </w:r>
        <w:r w:rsidR="00B70EC2">
          <w:rPr>
            <w:noProof/>
            <w:webHidden/>
          </w:rPr>
          <w:instrText xml:space="preserve"> PAGEREF _Toc166149315 \h </w:instrText>
        </w:r>
        <w:r w:rsidR="00B70EC2">
          <w:rPr>
            <w:noProof/>
            <w:webHidden/>
          </w:rPr>
        </w:r>
        <w:r w:rsidR="00B70EC2">
          <w:rPr>
            <w:noProof/>
            <w:webHidden/>
          </w:rPr>
          <w:fldChar w:fldCharType="separate"/>
        </w:r>
        <w:r w:rsidR="00B70EC2">
          <w:rPr>
            <w:noProof/>
            <w:webHidden/>
          </w:rPr>
          <w:t>121</w:t>
        </w:r>
        <w:r w:rsidR="00B70EC2">
          <w:rPr>
            <w:noProof/>
            <w:webHidden/>
          </w:rPr>
          <w:fldChar w:fldCharType="end"/>
        </w:r>
      </w:hyperlink>
    </w:p>
    <w:p w14:paraId="00C81AC8" w14:textId="6D0E146D"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6" w:history="1">
        <w:r w:rsidR="00B70EC2" w:rsidRPr="00FE60E8">
          <w:rPr>
            <w:rStyle w:val="Hyperlink"/>
            <w:noProof/>
          </w:rPr>
          <w:t>APPENDIX E—REPORTING PACKAGE CHANGES</w:t>
        </w:r>
        <w:r w:rsidR="00B70EC2">
          <w:rPr>
            <w:noProof/>
            <w:webHidden/>
          </w:rPr>
          <w:tab/>
        </w:r>
        <w:r w:rsidR="00B70EC2">
          <w:rPr>
            <w:noProof/>
            <w:webHidden/>
          </w:rPr>
          <w:fldChar w:fldCharType="begin"/>
        </w:r>
        <w:r w:rsidR="00B70EC2">
          <w:rPr>
            <w:noProof/>
            <w:webHidden/>
          </w:rPr>
          <w:instrText xml:space="preserve"> PAGEREF _Toc166149316 \h </w:instrText>
        </w:r>
        <w:r w:rsidR="00B70EC2">
          <w:rPr>
            <w:noProof/>
            <w:webHidden/>
          </w:rPr>
        </w:r>
        <w:r w:rsidR="00B70EC2">
          <w:rPr>
            <w:noProof/>
            <w:webHidden/>
          </w:rPr>
          <w:fldChar w:fldCharType="separate"/>
        </w:r>
        <w:r w:rsidR="00B70EC2">
          <w:rPr>
            <w:noProof/>
            <w:webHidden/>
          </w:rPr>
          <w:t>126</w:t>
        </w:r>
        <w:r w:rsidR="00B70EC2">
          <w:rPr>
            <w:noProof/>
            <w:webHidden/>
          </w:rPr>
          <w:fldChar w:fldCharType="end"/>
        </w:r>
      </w:hyperlink>
    </w:p>
    <w:p w14:paraId="17B80FC0" w14:textId="3F1F0877"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7" w:history="1">
        <w:r w:rsidR="00B70EC2" w:rsidRPr="00FE60E8">
          <w:rPr>
            <w:rStyle w:val="Hyperlink"/>
            <w:noProof/>
          </w:rPr>
          <w:t>APPENDIX F— RESOURCES FOR PACKAGE 3.20</w:t>
        </w:r>
        <w:r w:rsidR="00B70EC2">
          <w:rPr>
            <w:noProof/>
            <w:webHidden/>
          </w:rPr>
          <w:tab/>
        </w:r>
        <w:r w:rsidR="00B70EC2">
          <w:rPr>
            <w:noProof/>
            <w:webHidden/>
          </w:rPr>
          <w:fldChar w:fldCharType="begin"/>
        </w:r>
        <w:r w:rsidR="00B70EC2">
          <w:rPr>
            <w:noProof/>
            <w:webHidden/>
          </w:rPr>
          <w:instrText xml:space="preserve"> PAGEREF _Toc166149317 \h </w:instrText>
        </w:r>
        <w:r w:rsidR="00B70EC2">
          <w:rPr>
            <w:noProof/>
            <w:webHidden/>
          </w:rPr>
        </w:r>
        <w:r w:rsidR="00B70EC2">
          <w:rPr>
            <w:noProof/>
            <w:webHidden/>
          </w:rPr>
          <w:fldChar w:fldCharType="separate"/>
        </w:r>
        <w:r w:rsidR="00B70EC2">
          <w:rPr>
            <w:noProof/>
            <w:webHidden/>
          </w:rPr>
          <w:t>129</w:t>
        </w:r>
        <w:r w:rsidR="00B70EC2">
          <w:rPr>
            <w:noProof/>
            <w:webHidden/>
          </w:rPr>
          <w:fldChar w:fldCharType="end"/>
        </w:r>
      </w:hyperlink>
    </w:p>
    <w:p w14:paraId="0B40E8DC" w14:textId="50CCCA28" w:rsidR="00B70EC2" w:rsidRDefault="00EB6CFC">
      <w:pPr>
        <w:pStyle w:val="TOC2"/>
        <w:rPr>
          <w:rFonts w:asciiTheme="minorHAnsi" w:eastAsiaTheme="minorEastAsia" w:hAnsiTheme="minorHAnsi" w:cstheme="minorBidi"/>
          <w:noProof/>
          <w:kern w:val="2"/>
          <w:sz w:val="22"/>
          <w:szCs w:val="22"/>
          <w14:ligatures w14:val="standardContextual"/>
        </w:rPr>
      </w:pPr>
      <w:hyperlink w:anchor="_Toc166149318" w:history="1">
        <w:r w:rsidR="00B70EC2" w:rsidRPr="00FE60E8">
          <w:rPr>
            <w:rStyle w:val="Hyperlink"/>
            <w:noProof/>
          </w:rPr>
          <w:t>APPENDIX G — SCEIS REPORTS FOR DISTRIBUTION</w:t>
        </w:r>
        <w:r w:rsidR="00B70EC2">
          <w:rPr>
            <w:noProof/>
            <w:webHidden/>
          </w:rPr>
          <w:tab/>
        </w:r>
        <w:r w:rsidR="00B70EC2">
          <w:rPr>
            <w:noProof/>
            <w:webHidden/>
          </w:rPr>
          <w:fldChar w:fldCharType="begin"/>
        </w:r>
        <w:r w:rsidR="00B70EC2">
          <w:rPr>
            <w:noProof/>
            <w:webHidden/>
          </w:rPr>
          <w:instrText xml:space="preserve"> PAGEREF _Toc166149318 \h </w:instrText>
        </w:r>
        <w:r w:rsidR="00B70EC2">
          <w:rPr>
            <w:noProof/>
            <w:webHidden/>
          </w:rPr>
        </w:r>
        <w:r w:rsidR="00B70EC2">
          <w:rPr>
            <w:noProof/>
            <w:webHidden/>
          </w:rPr>
          <w:fldChar w:fldCharType="separate"/>
        </w:r>
        <w:r w:rsidR="00B70EC2">
          <w:rPr>
            <w:noProof/>
            <w:webHidden/>
          </w:rPr>
          <w:t>131</w:t>
        </w:r>
        <w:r w:rsidR="00B70EC2">
          <w:rPr>
            <w:noProof/>
            <w:webHidden/>
          </w:rPr>
          <w:fldChar w:fldCharType="end"/>
        </w:r>
      </w:hyperlink>
    </w:p>
    <w:p w14:paraId="15D17604" w14:textId="5431F010" w:rsidR="00880E91" w:rsidRPr="00E83033" w:rsidRDefault="00914D43" w:rsidP="003B02BA">
      <w:pPr>
        <w:pStyle w:val="Heading2"/>
      </w:pPr>
      <w:r>
        <w:fldChar w:fldCharType="end"/>
      </w:r>
      <w:bookmarkStart w:id="5" w:name="_Toc296021505"/>
      <w:bookmarkStart w:id="6" w:name="_Toc296235397"/>
      <w:bookmarkStart w:id="7" w:name="_Toc296235498"/>
      <w:bookmarkStart w:id="8" w:name="_Toc296247782"/>
      <w:r w:rsidR="00880E91" w:rsidRPr="00E83033">
        <w:br w:type="page"/>
      </w:r>
    </w:p>
    <w:p w14:paraId="1FA9277C" w14:textId="77777777" w:rsidR="00654C66" w:rsidRPr="00654C66" w:rsidRDefault="00654C66" w:rsidP="00645391">
      <w:pPr>
        <w:pStyle w:val="Heading1"/>
      </w:pPr>
      <w:bookmarkStart w:id="9" w:name="_Toc166149211"/>
      <w:r w:rsidRPr="00654C66">
        <w:lastRenderedPageBreak/>
        <w:t>PART I INTRODUCTION</w:t>
      </w:r>
      <w:bookmarkEnd w:id="5"/>
      <w:bookmarkEnd w:id="6"/>
      <w:bookmarkEnd w:id="7"/>
      <w:bookmarkEnd w:id="8"/>
      <w:bookmarkEnd w:id="9"/>
    </w:p>
    <w:p w14:paraId="375C8415" w14:textId="77777777" w:rsidR="0012040B" w:rsidRDefault="00290DC2" w:rsidP="003B02BA">
      <w:pPr>
        <w:pStyle w:val="Heading2"/>
      </w:pPr>
      <w:bookmarkStart w:id="10" w:name="_Toc296021419"/>
      <w:bookmarkStart w:id="11" w:name="_Toc296021506"/>
      <w:bookmarkStart w:id="12" w:name="_Toc296235398"/>
      <w:bookmarkStart w:id="13" w:name="_Toc296235499"/>
      <w:bookmarkStart w:id="14" w:name="_Toc296247783"/>
      <w:bookmarkStart w:id="15" w:name="_Toc166149212"/>
      <w:r w:rsidRPr="00654C66">
        <w:t xml:space="preserve">Section </w:t>
      </w:r>
      <w:r w:rsidR="009B555D">
        <w:t>1.</w:t>
      </w:r>
      <w:r w:rsidR="00585DDB">
        <w:t>0</w:t>
      </w:r>
      <w:r w:rsidR="00896186" w:rsidRPr="00654C66">
        <w:t xml:space="preserve"> </w:t>
      </w:r>
      <w:bookmarkEnd w:id="10"/>
      <w:bookmarkEnd w:id="11"/>
      <w:bookmarkEnd w:id="12"/>
      <w:bookmarkEnd w:id="13"/>
      <w:bookmarkEnd w:id="14"/>
      <w:r w:rsidR="006B7F84">
        <w:t xml:space="preserve">OVERVIEW &amp; </w:t>
      </w:r>
      <w:r w:rsidR="00585DDB">
        <w:t>SUMMARY OF CHANGES</w:t>
      </w:r>
      <w:bookmarkEnd w:id="15"/>
    </w:p>
    <w:p w14:paraId="7343F0C5" w14:textId="77777777" w:rsidR="00585DDB" w:rsidRPr="00B43FA6" w:rsidRDefault="006B7F84" w:rsidP="00585DDB">
      <w:pPr>
        <w:pStyle w:val="Heading3"/>
      </w:pPr>
      <w:bookmarkStart w:id="16" w:name="_Toc166149213"/>
      <w:r>
        <w:t>Overview</w:t>
      </w:r>
      <w:bookmarkEnd w:id="16"/>
      <w:r w:rsidR="00585DDB" w:rsidRPr="00B43FA6">
        <w:t xml:space="preserve"> </w:t>
      </w:r>
    </w:p>
    <w:p w14:paraId="107898ED" w14:textId="77777777" w:rsidR="00585DDB" w:rsidRDefault="00585DDB" w:rsidP="00585DDB">
      <w:pPr>
        <w:rPr>
          <w:bCs/>
        </w:rPr>
      </w:pPr>
      <w:r w:rsidRPr="000B5A8A">
        <w:rPr>
          <w:bCs/>
        </w:rPr>
        <w:t xml:space="preserve">Every agency is required to follow the </w:t>
      </w:r>
      <w:r>
        <w:rPr>
          <w:bCs/>
        </w:rPr>
        <w:t>Reporting</w:t>
      </w:r>
      <w:r w:rsidRPr="000B5A8A">
        <w:rPr>
          <w:bCs/>
        </w:rPr>
        <w:t xml:space="preserve"> </w:t>
      </w:r>
      <w:r>
        <w:rPr>
          <w:bCs/>
        </w:rPr>
        <w:t xml:space="preserve">Policies and </w:t>
      </w:r>
      <w:r w:rsidRPr="000B5A8A">
        <w:rPr>
          <w:bCs/>
        </w:rPr>
        <w:t xml:space="preserve">Procedures Manual and submit </w:t>
      </w:r>
      <w:r>
        <w:rPr>
          <w:bCs/>
        </w:rPr>
        <w:t xml:space="preserve">the </w:t>
      </w:r>
      <w:r w:rsidRPr="000B5A8A">
        <w:rPr>
          <w:bCs/>
        </w:rPr>
        <w:t xml:space="preserve">required </w:t>
      </w:r>
      <w:r>
        <w:rPr>
          <w:bCs/>
        </w:rPr>
        <w:t xml:space="preserve">reporting </w:t>
      </w:r>
      <w:r w:rsidRPr="000B5A8A">
        <w:rPr>
          <w:bCs/>
        </w:rPr>
        <w:t xml:space="preserve">packages </w:t>
      </w:r>
      <w:r>
        <w:rPr>
          <w:bCs/>
        </w:rPr>
        <w:t xml:space="preserve">identified through the completion of the Master Reporting Package Checklist, </w:t>
      </w:r>
      <w:r w:rsidRPr="000B5A8A">
        <w:rPr>
          <w:bCs/>
        </w:rPr>
        <w:t>without exception.</w:t>
      </w:r>
      <w:r w:rsidRPr="00B43FA6">
        <w:rPr>
          <w:bCs/>
        </w:rPr>
        <w:t xml:space="preserve">  </w:t>
      </w:r>
    </w:p>
    <w:p w14:paraId="7D8F6A2D" w14:textId="60DC0F36" w:rsidR="00585DDB" w:rsidRDefault="00585DDB" w:rsidP="00585DDB">
      <w:pPr>
        <w:rPr>
          <w:bCs/>
        </w:rPr>
      </w:pPr>
      <w:r w:rsidRPr="005D4B1A">
        <w:rPr>
          <w:bCs/>
          <w:u w:val="single"/>
        </w:rPr>
        <w:t xml:space="preserve">Please ensure that all </w:t>
      </w:r>
      <w:r>
        <w:rPr>
          <w:bCs/>
          <w:u w:val="single"/>
        </w:rPr>
        <w:t xml:space="preserve">reporting </w:t>
      </w:r>
      <w:r w:rsidRPr="005D4B1A">
        <w:rPr>
          <w:bCs/>
          <w:u w:val="single"/>
        </w:rPr>
        <w:t xml:space="preserve">package balances </w:t>
      </w:r>
      <w:r>
        <w:rPr>
          <w:bCs/>
          <w:u w:val="single"/>
        </w:rPr>
        <w:t xml:space="preserve">agree to </w:t>
      </w:r>
      <w:r w:rsidR="00BB3123">
        <w:rPr>
          <w:bCs/>
          <w:u w:val="single"/>
        </w:rPr>
        <w:t xml:space="preserve">balances within the </w:t>
      </w:r>
      <w:r>
        <w:rPr>
          <w:bCs/>
          <w:u w:val="single"/>
        </w:rPr>
        <w:t xml:space="preserve">SCEIS general ledger </w:t>
      </w:r>
      <w:r w:rsidRPr="00E5055F">
        <w:rPr>
          <w:bCs/>
          <w:u w:val="single"/>
        </w:rPr>
        <w:t>and</w:t>
      </w:r>
      <w:r>
        <w:rPr>
          <w:bCs/>
          <w:u w:val="single"/>
        </w:rPr>
        <w:t xml:space="preserve"> subsidiary ledger </w:t>
      </w:r>
      <w:r w:rsidRPr="005D4B1A">
        <w:rPr>
          <w:bCs/>
          <w:u w:val="single"/>
        </w:rPr>
        <w:t xml:space="preserve">reports where </w:t>
      </w:r>
      <w:r>
        <w:rPr>
          <w:bCs/>
          <w:u w:val="single"/>
        </w:rPr>
        <w:t>appropriate</w:t>
      </w:r>
      <w:r>
        <w:rPr>
          <w:bCs/>
        </w:rPr>
        <w:t>.  As an example, a</w:t>
      </w:r>
      <w:r w:rsidR="00AE7707">
        <w:rPr>
          <w:bCs/>
        </w:rPr>
        <w:t xml:space="preserve"> </w:t>
      </w:r>
      <w:r>
        <w:rPr>
          <w:bCs/>
        </w:rPr>
        <w:t xml:space="preserve">reconciliation should be performed between the details in the subsidiary ledger and the general ledger account balance.  Any errors identified should be corrected during the extended period 12 processing.  If correction of the differences cannot be determined by the agency, the Comptroller General's Office and SCEIS are available </w:t>
      </w:r>
      <w:r w:rsidR="000F7564">
        <w:rPr>
          <w:bCs/>
        </w:rPr>
        <w:t>as a resource</w:t>
      </w:r>
      <w:r>
        <w:rPr>
          <w:bCs/>
        </w:rPr>
        <w:t xml:space="preserve">.  In </w:t>
      </w:r>
      <w:r w:rsidR="00BC73BF">
        <w:rPr>
          <w:bCs/>
        </w:rPr>
        <w:t>addition,</w:t>
      </w:r>
      <w:r>
        <w:rPr>
          <w:bCs/>
        </w:rPr>
        <w:t xml:space="preserve"> if errors in the general ledger balances are identified as the reporting packages are completed, entries should be posted to reflect the correct balances.  If the error is identified after the extended period 12 processing has been closed</w:t>
      </w:r>
      <w:r w:rsidR="000F7564">
        <w:rPr>
          <w:bCs/>
        </w:rPr>
        <w:t xml:space="preserve"> or the transaction is not allowed in extended period processing (see Year-End Memo for a list of transactions allowed)</w:t>
      </w:r>
      <w:r>
        <w:rPr>
          <w:bCs/>
        </w:rPr>
        <w:t xml:space="preserve">, please notify the Comptroller General's Office so that we can assist in the correction.  </w:t>
      </w:r>
      <w:r w:rsidRPr="005D4B1A">
        <w:rPr>
          <w:bCs/>
          <w:u w:val="single"/>
        </w:rPr>
        <w:t xml:space="preserve">It is the responsibility of each agency to ensure all accounting transactions are properly recorded in the State’s accounting system and on the required </w:t>
      </w:r>
      <w:r>
        <w:rPr>
          <w:bCs/>
          <w:u w:val="single"/>
        </w:rPr>
        <w:t>reporting</w:t>
      </w:r>
      <w:r w:rsidRPr="005D4B1A">
        <w:rPr>
          <w:bCs/>
          <w:u w:val="single"/>
        </w:rPr>
        <w:t xml:space="preserve"> </w:t>
      </w:r>
      <w:r>
        <w:rPr>
          <w:bCs/>
          <w:u w:val="single"/>
        </w:rPr>
        <w:t>forms</w:t>
      </w:r>
      <w:r>
        <w:rPr>
          <w:bCs/>
        </w:rPr>
        <w:t>.</w:t>
      </w:r>
    </w:p>
    <w:p w14:paraId="01E93564" w14:textId="77777777" w:rsidR="00585DDB" w:rsidRDefault="00585DDB" w:rsidP="00585DDB">
      <w:pPr>
        <w:rPr>
          <w:bCs/>
        </w:rPr>
      </w:pPr>
      <w:r>
        <w:rPr>
          <w:bCs/>
        </w:rPr>
        <w:t xml:space="preserve">To assist in the managerial review of account balances, Business Works (BW) </w:t>
      </w:r>
      <w:r w:rsidR="003A01C5">
        <w:rPr>
          <w:bCs/>
        </w:rPr>
        <w:t>and Business Objects (BO</w:t>
      </w:r>
      <w:r w:rsidR="001E0AFD">
        <w:rPr>
          <w:bCs/>
        </w:rPr>
        <w:t>BJ</w:t>
      </w:r>
      <w:r w:rsidR="003A01C5">
        <w:rPr>
          <w:bCs/>
        </w:rPr>
        <w:t xml:space="preserve">) </w:t>
      </w:r>
      <w:r>
        <w:rPr>
          <w:bCs/>
        </w:rPr>
        <w:t xml:space="preserve">reports have been designed to provide balances or activity that are required to be </w:t>
      </w:r>
      <w:r w:rsidR="00CD377B">
        <w:rPr>
          <w:bCs/>
        </w:rPr>
        <w:t xml:space="preserve">analyzed, </w:t>
      </w:r>
      <w:r>
        <w:rPr>
          <w:bCs/>
        </w:rPr>
        <w:t xml:space="preserve">evaluated, verified, and reported in the year-end process.  These reports have been designed to allow an agency to run the report at any point in time during the year to improve internal controls through </w:t>
      </w:r>
      <w:r w:rsidR="000F7564">
        <w:rPr>
          <w:bCs/>
        </w:rPr>
        <w:t xml:space="preserve">periodic </w:t>
      </w:r>
      <w:r>
        <w:rPr>
          <w:bCs/>
        </w:rPr>
        <w:t xml:space="preserve">managerial review.  For ease in identifying the reports the name of all reports begins with “Yearend”.  In BW </w:t>
      </w:r>
      <w:r w:rsidR="003A01C5">
        <w:rPr>
          <w:bCs/>
        </w:rPr>
        <w:t>and BO</w:t>
      </w:r>
      <w:r w:rsidR="001E0AFD">
        <w:rPr>
          <w:bCs/>
        </w:rPr>
        <w:t>BJ</w:t>
      </w:r>
      <w:r w:rsidR="003A01C5">
        <w:rPr>
          <w:bCs/>
        </w:rPr>
        <w:t xml:space="preserve"> </w:t>
      </w:r>
      <w:r>
        <w:rPr>
          <w:bCs/>
        </w:rPr>
        <w:t xml:space="preserve">select open queries, click on the binoculars icon, type “Yearend” in the search field, and select search.  </w:t>
      </w:r>
    </w:p>
    <w:p w14:paraId="6AB1E650" w14:textId="46CAC338" w:rsidR="00585DDB" w:rsidRDefault="00585DDB" w:rsidP="00585DDB">
      <w:pPr>
        <w:rPr>
          <w:bCs/>
        </w:rPr>
      </w:pPr>
      <w:r>
        <w:rPr>
          <w:bCs/>
        </w:rPr>
        <w:t>If questions arise concerning content or requirements of the reporting packages, please call the appropriate Comptroller General’s Office staff member as indicated on</w:t>
      </w:r>
      <w:r w:rsidR="00AE7707">
        <w:rPr>
          <w:bCs/>
        </w:rPr>
        <w:t xml:space="preserve"> Appendix E for the related pack</w:t>
      </w:r>
      <w:r w:rsidR="00F678F7">
        <w:rPr>
          <w:bCs/>
        </w:rPr>
        <w:t>age</w:t>
      </w:r>
      <w:r w:rsidR="00AE7707">
        <w:rPr>
          <w:bCs/>
        </w:rPr>
        <w:t>.</w:t>
      </w:r>
      <w:r>
        <w:rPr>
          <w:bCs/>
        </w:rPr>
        <w:t xml:space="preserve">  </w:t>
      </w:r>
      <w:r w:rsidRPr="00834E38">
        <w:rPr>
          <w:bCs/>
        </w:rPr>
        <w:t xml:space="preserve">If you have questions concerning </w:t>
      </w:r>
      <w:r>
        <w:rPr>
          <w:bCs/>
        </w:rPr>
        <w:t>Yearend reports</w:t>
      </w:r>
      <w:r w:rsidRPr="00834E38">
        <w:rPr>
          <w:bCs/>
        </w:rPr>
        <w:t xml:space="preserve">, please </w:t>
      </w:r>
      <w:r w:rsidR="001E0AFD">
        <w:rPr>
          <w:bCs/>
        </w:rPr>
        <w:t>email the related CG’s financial reporting team member that is responsible for that year end closing pack</w:t>
      </w:r>
      <w:r w:rsidR="00F678F7">
        <w:rPr>
          <w:bCs/>
        </w:rPr>
        <w:t>age</w:t>
      </w:r>
      <w:r w:rsidR="001E0AFD">
        <w:rPr>
          <w:bCs/>
        </w:rPr>
        <w:t>. (See Appendix E).</w:t>
      </w:r>
    </w:p>
    <w:p w14:paraId="45DD729E" w14:textId="0D4B4519" w:rsidR="00585DDB" w:rsidRPr="006B7F84" w:rsidRDefault="00585DDB" w:rsidP="00585DDB">
      <w:pPr>
        <w:rPr>
          <w:bCs/>
        </w:rPr>
      </w:pPr>
      <w:r>
        <w:rPr>
          <w:bCs/>
        </w:rPr>
        <w:t xml:space="preserve">The Comptroller General's Office appreciates your </w:t>
      </w:r>
      <w:r w:rsidR="00CD377B">
        <w:rPr>
          <w:bCs/>
        </w:rPr>
        <w:t xml:space="preserve">continued </w:t>
      </w:r>
      <w:r>
        <w:rPr>
          <w:bCs/>
        </w:rPr>
        <w:t>cooperation and understanding during th</w:t>
      </w:r>
      <w:r w:rsidR="006B7F84">
        <w:rPr>
          <w:bCs/>
        </w:rPr>
        <w:t>e</w:t>
      </w:r>
      <w:r w:rsidR="002465D6">
        <w:rPr>
          <w:bCs/>
        </w:rPr>
        <w:t xml:space="preserve"> </w:t>
      </w:r>
      <w:r>
        <w:rPr>
          <w:bCs/>
        </w:rPr>
        <w:t>A</w:t>
      </w:r>
      <w:r w:rsidR="005E0E8A">
        <w:rPr>
          <w:bCs/>
        </w:rPr>
        <w:t>C</w:t>
      </w:r>
      <w:r>
        <w:rPr>
          <w:bCs/>
        </w:rPr>
        <w:t xml:space="preserve">FR preparation.  </w:t>
      </w:r>
      <w:r w:rsidR="004965FF" w:rsidRPr="004965FF">
        <w:rPr>
          <w:b/>
          <w:bCs/>
          <w:i/>
        </w:rPr>
        <w:t xml:space="preserve">Please let us know as early as possible if there are any concerns about providing </w:t>
      </w:r>
      <w:r w:rsidR="000F7564">
        <w:rPr>
          <w:b/>
          <w:bCs/>
          <w:i/>
        </w:rPr>
        <w:t xml:space="preserve">accurate </w:t>
      </w:r>
      <w:r w:rsidR="004965FF" w:rsidRPr="00B843C9">
        <w:rPr>
          <w:b/>
          <w:bCs/>
          <w:i/>
        </w:rPr>
        <w:t>information</w:t>
      </w:r>
      <w:r w:rsidRPr="00B843C9">
        <w:rPr>
          <w:b/>
          <w:bCs/>
          <w:i/>
        </w:rPr>
        <w:t xml:space="preserve"> or being able to meet reporting package deadlines</w:t>
      </w:r>
      <w:r>
        <w:rPr>
          <w:bCs/>
        </w:rPr>
        <w:t xml:space="preserve">.  </w:t>
      </w:r>
      <w:r w:rsidRPr="006B7F84">
        <w:rPr>
          <w:bCs/>
        </w:rPr>
        <w:t>Thanks for your continued assistance in meeting our goal of timely and accurate financial reporting.</w:t>
      </w:r>
    </w:p>
    <w:p w14:paraId="5B82E2ED" w14:textId="34DAA72A" w:rsidR="00585DDB" w:rsidRDefault="00585DDB" w:rsidP="00585DDB">
      <w:pPr>
        <w:pStyle w:val="Heading3"/>
      </w:pPr>
      <w:bookmarkStart w:id="17" w:name="_Toc166149214"/>
      <w:r>
        <w:t xml:space="preserve">Changes to </w:t>
      </w:r>
      <w:bookmarkEnd w:id="17"/>
      <w:r w:rsidR="00EB6CFC">
        <w:t>Reporting Packages</w:t>
      </w:r>
    </w:p>
    <w:p w14:paraId="47487B88" w14:textId="4807378F" w:rsidR="00914D43" w:rsidRDefault="003A01C5">
      <w:pPr>
        <w:pStyle w:val="NormalIndent"/>
        <w:spacing w:after="0"/>
        <w:ind w:left="0"/>
      </w:pPr>
      <w:r>
        <w:t>Please refer to Appendix E for year</w:t>
      </w:r>
      <w:r w:rsidR="005E0E8A">
        <w:t>-</w:t>
      </w:r>
      <w:r>
        <w:t>end reporting pack</w:t>
      </w:r>
      <w:r w:rsidR="00F678F7">
        <w:t>age</w:t>
      </w:r>
      <w:r>
        <w:t xml:space="preserve"> changes.</w:t>
      </w:r>
    </w:p>
    <w:p w14:paraId="42B7FDA7" w14:textId="77777777" w:rsidR="005F5B1F" w:rsidRDefault="005F5B1F">
      <w:pPr>
        <w:pStyle w:val="NormalIndent"/>
        <w:spacing w:after="0"/>
        <w:ind w:left="0"/>
      </w:pPr>
    </w:p>
    <w:p w14:paraId="278AC311" w14:textId="77777777" w:rsidR="005F5B1F" w:rsidRDefault="005F5B1F">
      <w:pPr>
        <w:pStyle w:val="NormalIndent"/>
        <w:spacing w:after="0"/>
        <w:ind w:left="0"/>
      </w:pPr>
    </w:p>
    <w:p w14:paraId="116A1D06" w14:textId="77777777" w:rsidR="0030479C" w:rsidRDefault="0030479C" w:rsidP="0030479C">
      <w:pPr>
        <w:pStyle w:val="Heading3"/>
      </w:pPr>
      <w:bookmarkStart w:id="18" w:name="_Toc166149215"/>
      <w:r>
        <w:lastRenderedPageBreak/>
        <w:t>Implementation of New Accounting Pronouncements</w:t>
      </w:r>
      <w:bookmarkEnd w:id="18"/>
    </w:p>
    <w:p w14:paraId="2EE82B59" w14:textId="755CCCD6" w:rsidR="0030479C" w:rsidRDefault="0030479C" w:rsidP="0030479C">
      <w:r w:rsidRPr="00AE7707">
        <w:t xml:space="preserve">For the fiscal year ending June 30, </w:t>
      </w:r>
      <w:proofErr w:type="gramStart"/>
      <w:r w:rsidR="00402E6C">
        <w:t>202</w:t>
      </w:r>
      <w:r w:rsidR="00C26F7E">
        <w:t>5</w:t>
      </w:r>
      <w:proofErr w:type="gramEnd"/>
      <w:r w:rsidR="00195519" w:rsidRPr="00AE7707">
        <w:t xml:space="preserve"> </w:t>
      </w:r>
      <w:r w:rsidRPr="00AE7707">
        <w:t>the State is implementing the following:</w:t>
      </w:r>
    </w:p>
    <w:p w14:paraId="250F653C" w14:textId="3C6DE084" w:rsidR="00C26F7E" w:rsidRPr="00D77712" w:rsidRDefault="00C26F7E" w:rsidP="00C26F7E">
      <w:pPr>
        <w:spacing w:before="0" w:after="0"/>
        <w:ind w:left="360"/>
        <w:rPr>
          <w:szCs w:val="24"/>
        </w:rPr>
      </w:pPr>
      <w:r w:rsidRPr="00D77712">
        <w:rPr>
          <w:szCs w:val="24"/>
        </w:rPr>
        <w:t xml:space="preserve">Statement No. 101, </w:t>
      </w:r>
      <w:r w:rsidRPr="00D77712">
        <w:rPr>
          <w:i/>
          <w:iCs/>
          <w:szCs w:val="24"/>
        </w:rPr>
        <w:t>Compensated Absences</w:t>
      </w:r>
      <w:r w:rsidRPr="00D77712">
        <w:rPr>
          <w:szCs w:val="24"/>
        </w:rPr>
        <w:t>, requires that liabilities for compensated absences be recognized for (1) leave that has not been used and (2) leave that has been used but not yet paid in cash or settled through noncash means. A liability should be recognized for leave that has not been used if (a) the leave is attributable to services already rendered, (b) the leave accumulates, and (c) the leave is more likely than not to be used for time off or otherwise paid in cash or settled through noncash means. Leave is attributable to services already rendered when an employee has performed the services required to earn the leave. Leave that accumulates is carried forward from the reporting period in which it is earned to a future reporting period during which it may be used for time off or otherwise paid or settled. In estimating the leave that is more likely than not to be used or otherwise paid or settled, a government should consider relevant factors such as employment policies related to compensated absences and historical information about the use or payment of compensated absences. However, leave that is more likely than not to be settled through conversion to defined benefit postemployment benefits should not be included in a liability for compensated absences.</w:t>
      </w:r>
    </w:p>
    <w:p w14:paraId="1C743AA8" w14:textId="77777777" w:rsidR="00C26F7E" w:rsidRPr="00C26F7E" w:rsidRDefault="00C26F7E" w:rsidP="00C26F7E">
      <w:pPr>
        <w:spacing w:before="0" w:after="0"/>
        <w:ind w:left="360"/>
        <w:rPr>
          <w:szCs w:val="24"/>
        </w:rPr>
      </w:pPr>
      <w:r w:rsidRPr="00C26F7E">
        <w:rPr>
          <w:szCs w:val="24"/>
        </w:rPr>
        <w:t>This Statement also establishes guidance for measuring a liability for leave that has not been used, generally using an employee’s pay rate as of the date of the financial statements. A liability for leave that has been used but not yet paid or settled should be measured at the amount of the cash payment or noncash settlement to be made. Certain salary-related payments that are directly and incrementally associated with payments for leave also should be included in the measurement of the liabilities.</w:t>
      </w:r>
    </w:p>
    <w:p w14:paraId="7E8C4A94" w14:textId="77777777" w:rsidR="00C26F7E" w:rsidRPr="00D77712" w:rsidRDefault="00C26F7E" w:rsidP="00354C42">
      <w:pPr>
        <w:spacing w:before="0" w:after="0"/>
        <w:ind w:left="360"/>
        <w:rPr>
          <w:szCs w:val="24"/>
        </w:rPr>
      </w:pPr>
    </w:p>
    <w:p w14:paraId="20B1810B" w14:textId="5A0A74E2" w:rsidR="00D77712" w:rsidRPr="00D77712" w:rsidRDefault="00354C42" w:rsidP="00D77712">
      <w:pPr>
        <w:spacing w:before="0" w:after="0"/>
        <w:ind w:left="360"/>
        <w:rPr>
          <w:szCs w:val="24"/>
        </w:rPr>
      </w:pPr>
      <w:r w:rsidRPr="00D77712">
        <w:rPr>
          <w:szCs w:val="24"/>
        </w:rPr>
        <w:t xml:space="preserve">Statement No. </w:t>
      </w:r>
      <w:r w:rsidR="00D77712" w:rsidRPr="00D77712">
        <w:rPr>
          <w:szCs w:val="24"/>
        </w:rPr>
        <w:t>102</w:t>
      </w:r>
      <w:r w:rsidRPr="00D77712">
        <w:rPr>
          <w:szCs w:val="24"/>
        </w:rPr>
        <w:t xml:space="preserve">, </w:t>
      </w:r>
      <w:r w:rsidR="00D77712" w:rsidRPr="00D77712">
        <w:rPr>
          <w:i/>
          <w:szCs w:val="24"/>
        </w:rPr>
        <w:t>Certain Risk Disclosures</w:t>
      </w:r>
      <w:r w:rsidRPr="00D77712">
        <w:rPr>
          <w:i/>
          <w:szCs w:val="24"/>
        </w:rPr>
        <w:t xml:space="preserve">, </w:t>
      </w:r>
      <w:r w:rsidR="00D77712" w:rsidRPr="00D77712">
        <w:rPr>
          <w:szCs w:val="24"/>
        </w:rPr>
        <w:t xml:space="preserve">provides users of government financial statements with essential information about risks related to a government’s vulnerabilities due to certain concentrations or constraints. This Statement requires a government to assess whether a concentration or constraint makes the primary government reporting unit or other reporting units that report a liability for revenue debt vulnerable to the risk of a substantial impact. Additionally, this Statement requires a government to assess whether an event or events associated with a concentration or constraint that could cause the substantial impact </w:t>
      </w:r>
      <w:proofErr w:type="gramStart"/>
      <w:r w:rsidR="00D77712" w:rsidRPr="00D77712">
        <w:rPr>
          <w:szCs w:val="24"/>
        </w:rPr>
        <w:t>have</w:t>
      </w:r>
      <w:proofErr w:type="gramEnd"/>
      <w:r w:rsidR="00D77712" w:rsidRPr="00D77712">
        <w:rPr>
          <w:szCs w:val="24"/>
        </w:rPr>
        <w:t xml:space="preserve"> occurred, have begun to occur, or are more likely than not to begin to occur within 12 months of the date the financial statements are issued.</w:t>
      </w:r>
    </w:p>
    <w:p w14:paraId="58EE798F" w14:textId="07FBDE99" w:rsidR="003B02BA" w:rsidRPr="00C26F7E" w:rsidRDefault="003B02BA" w:rsidP="00D77712">
      <w:pPr>
        <w:spacing w:before="0" w:after="0"/>
        <w:rPr>
          <w:sz w:val="26"/>
          <w:szCs w:val="24"/>
        </w:rPr>
      </w:pPr>
      <w:r>
        <w:rPr>
          <w:b/>
        </w:rPr>
        <w:br w:type="page"/>
      </w:r>
    </w:p>
    <w:p w14:paraId="1CA5A670" w14:textId="0841A1F2" w:rsidR="0012040B" w:rsidRPr="00AD6D09" w:rsidRDefault="00585DDB" w:rsidP="003B02BA">
      <w:pPr>
        <w:pStyle w:val="Heading2"/>
      </w:pPr>
      <w:bookmarkStart w:id="19" w:name="_Toc166149216"/>
      <w:r w:rsidRPr="00AD6D09">
        <w:lastRenderedPageBreak/>
        <w:t>Section 1.1 ACCOUNTING STANDARDS</w:t>
      </w:r>
      <w:bookmarkEnd w:id="19"/>
    </w:p>
    <w:p w14:paraId="19EED88D" w14:textId="77777777" w:rsidR="00896186" w:rsidRPr="00A01BAE" w:rsidRDefault="00896186" w:rsidP="00E844A5">
      <w:pPr>
        <w:pStyle w:val="Heading3"/>
      </w:pPr>
      <w:bookmarkStart w:id="20" w:name="_Toc296021420"/>
      <w:bookmarkStart w:id="21" w:name="_Toc296021507"/>
      <w:bookmarkStart w:id="22" w:name="_Toc296235399"/>
      <w:bookmarkStart w:id="23" w:name="_Toc296235500"/>
      <w:bookmarkStart w:id="24" w:name="_Toc296247784"/>
      <w:bookmarkStart w:id="25" w:name="_Toc166149217"/>
      <w:r w:rsidRPr="00A01BAE">
        <w:t>Generally Accepted Accounting Principles (GAAP)</w:t>
      </w:r>
      <w:bookmarkEnd w:id="20"/>
      <w:bookmarkEnd w:id="21"/>
      <w:bookmarkEnd w:id="22"/>
      <w:bookmarkEnd w:id="23"/>
      <w:bookmarkEnd w:id="24"/>
      <w:bookmarkEnd w:id="25"/>
    </w:p>
    <w:p w14:paraId="7AF66619" w14:textId="3984C51C" w:rsidR="0032099C" w:rsidRPr="00290DC2" w:rsidRDefault="0032099C" w:rsidP="00242BCA">
      <w:pPr>
        <w:spacing w:before="40" w:line="280" w:lineRule="exact"/>
        <w:rPr>
          <w:szCs w:val="24"/>
        </w:rPr>
      </w:pPr>
      <w:r w:rsidRPr="00290DC2">
        <w:rPr>
          <w:szCs w:val="24"/>
        </w:rPr>
        <w:t xml:space="preserve">The sources and hierarchy of </w:t>
      </w:r>
      <w:r w:rsidR="00896186" w:rsidRPr="00290DC2">
        <w:rPr>
          <w:szCs w:val="24"/>
        </w:rPr>
        <w:t xml:space="preserve">Generally Accepted Accounting Principles (GAAP) </w:t>
      </w:r>
      <w:r w:rsidRPr="00290DC2">
        <w:rPr>
          <w:szCs w:val="24"/>
        </w:rPr>
        <w:t xml:space="preserve">are defined in Governmental Accounting Standards Board (GASB) Statement No. 55.  The sources </w:t>
      </w:r>
      <w:r w:rsidR="00DC62F6" w:rsidRPr="00290DC2">
        <w:rPr>
          <w:szCs w:val="24"/>
        </w:rPr>
        <w:t xml:space="preserve">are </w:t>
      </w:r>
      <w:r w:rsidRPr="00290DC2">
        <w:rPr>
          <w:szCs w:val="24"/>
        </w:rPr>
        <w:t>comprise</w:t>
      </w:r>
      <w:r w:rsidR="00DC62F6" w:rsidRPr="00290DC2">
        <w:rPr>
          <w:szCs w:val="24"/>
        </w:rPr>
        <w:t>d</w:t>
      </w:r>
      <w:r w:rsidRPr="00290DC2">
        <w:rPr>
          <w:szCs w:val="24"/>
        </w:rPr>
        <w:t xml:space="preserve"> </w:t>
      </w:r>
      <w:r w:rsidR="00DC62F6" w:rsidRPr="00290DC2">
        <w:rPr>
          <w:szCs w:val="24"/>
        </w:rPr>
        <w:t xml:space="preserve">of </w:t>
      </w:r>
      <w:r w:rsidRPr="00290DC2">
        <w:rPr>
          <w:szCs w:val="24"/>
        </w:rPr>
        <w:t>promulgated statements from GASB</w:t>
      </w:r>
      <w:r w:rsidR="00FA7A3D">
        <w:rPr>
          <w:szCs w:val="24"/>
        </w:rPr>
        <w:t xml:space="preserve">, </w:t>
      </w:r>
      <w:r w:rsidRPr="00290DC2">
        <w:rPr>
          <w:szCs w:val="24"/>
        </w:rPr>
        <w:t>the Financial Accounting Standards Board (FASB)</w:t>
      </w:r>
      <w:r w:rsidR="00FA7A3D">
        <w:rPr>
          <w:rStyle w:val="FootnoteReference"/>
          <w:szCs w:val="24"/>
        </w:rPr>
        <w:t xml:space="preserve"> </w:t>
      </w:r>
      <w:r w:rsidR="00FA7A3D">
        <w:rPr>
          <w:szCs w:val="24"/>
        </w:rPr>
        <w:t>standards</w:t>
      </w:r>
      <w:r w:rsidR="00D77712">
        <w:rPr>
          <w:szCs w:val="24"/>
        </w:rPr>
        <w:t>,</w:t>
      </w:r>
      <w:r w:rsidRPr="00290DC2">
        <w:rPr>
          <w:szCs w:val="24"/>
        </w:rPr>
        <w:t xml:space="preserve"> </w:t>
      </w:r>
      <w:r w:rsidR="00DC62F6" w:rsidRPr="00290DC2">
        <w:rPr>
          <w:szCs w:val="24"/>
        </w:rPr>
        <w:t xml:space="preserve">other forms of </w:t>
      </w:r>
      <w:r w:rsidRPr="00290DC2">
        <w:rPr>
          <w:szCs w:val="24"/>
        </w:rPr>
        <w:t xml:space="preserve">guidance provided by these organizations, the American Institute of Certified Public Accountants (AICPA), and other professional organizations.  </w:t>
      </w:r>
      <w:r w:rsidR="00012A9C" w:rsidRPr="00290DC2">
        <w:rPr>
          <w:szCs w:val="24"/>
        </w:rPr>
        <w:t>A listing of sourc</w:t>
      </w:r>
      <w:r w:rsidR="00C764AD" w:rsidRPr="00290DC2">
        <w:rPr>
          <w:szCs w:val="24"/>
        </w:rPr>
        <w:t>es of the components of GAAP is</w:t>
      </w:r>
      <w:r w:rsidR="00012A9C" w:rsidRPr="00290DC2">
        <w:rPr>
          <w:szCs w:val="24"/>
        </w:rPr>
        <w:t xml:space="preserve"> included </w:t>
      </w:r>
      <w:r w:rsidR="00C764AD" w:rsidRPr="00290DC2">
        <w:rPr>
          <w:szCs w:val="24"/>
        </w:rPr>
        <w:t>as</w:t>
      </w:r>
      <w:r w:rsidR="00012A9C" w:rsidRPr="00290DC2">
        <w:rPr>
          <w:szCs w:val="24"/>
        </w:rPr>
        <w:t xml:space="preserve"> A</w:t>
      </w:r>
      <w:r w:rsidR="00D77712">
        <w:rPr>
          <w:szCs w:val="24"/>
        </w:rPr>
        <w:t>ppendix</w:t>
      </w:r>
      <w:r w:rsidR="00012A9C" w:rsidRPr="00290DC2">
        <w:rPr>
          <w:szCs w:val="24"/>
        </w:rPr>
        <w:t xml:space="preserve"> </w:t>
      </w:r>
      <w:r w:rsidR="00C764AD" w:rsidRPr="00290DC2">
        <w:rPr>
          <w:szCs w:val="24"/>
        </w:rPr>
        <w:t>A.</w:t>
      </w:r>
    </w:p>
    <w:p w14:paraId="59B7B4DB" w14:textId="77777777" w:rsidR="00896186" w:rsidRPr="00290DC2" w:rsidRDefault="0032099C" w:rsidP="00242BCA">
      <w:pPr>
        <w:spacing w:line="280" w:lineRule="exact"/>
        <w:rPr>
          <w:szCs w:val="24"/>
        </w:rPr>
      </w:pPr>
      <w:r w:rsidRPr="00290DC2">
        <w:rPr>
          <w:szCs w:val="24"/>
        </w:rPr>
        <w:t xml:space="preserve">The </w:t>
      </w:r>
      <w:r w:rsidR="00780D32" w:rsidRPr="00290DC2">
        <w:rPr>
          <w:szCs w:val="24"/>
        </w:rPr>
        <w:t xml:space="preserve">State of South Carolina </w:t>
      </w:r>
      <w:r w:rsidRPr="00290DC2">
        <w:rPr>
          <w:szCs w:val="24"/>
        </w:rPr>
        <w:t>Comptroller General</w:t>
      </w:r>
      <w:r w:rsidR="007F5F89" w:rsidRPr="00290DC2">
        <w:rPr>
          <w:szCs w:val="24"/>
        </w:rPr>
        <w:t>’s</w:t>
      </w:r>
      <w:r w:rsidR="00780D32" w:rsidRPr="00290DC2">
        <w:rPr>
          <w:szCs w:val="24"/>
        </w:rPr>
        <w:t xml:space="preserve"> </w:t>
      </w:r>
      <w:r w:rsidRPr="00290DC2">
        <w:rPr>
          <w:szCs w:val="24"/>
        </w:rPr>
        <w:t>Office</w:t>
      </w:r>
      <w:r w:rsidR="007F5F89" w:rsidRPr="00290DC2">
        <w:rPr>
          <w:szCs w:val="24"/>
        </w:rPr>
        <w:t xml:space="preserve"> (CGO)</w:t>
      </w:r>
      <w:r w:rsidRPr="00290DC2">
        <w:rPr>
          <w:szCs w:val="24"/>
        </w:rPr>
        <w:t xml:space="preserve"> is responsible for the publication of GAAP financial statements for the State of South Carolina.  Each agency is responsible for the maintenance of GAAP accounting records specific to the agency and its daily operations.  This guide and other publications available on the </w:t>
      </w:r>
      <w:r w:rsidR="007F5F89" w:rsidRPr="00290DC2">
        <w:rPr>
          <w:szCs w:val="24"/>
        </w:rPr>
        <w:t>CGO</w:t>
      </w:r>
      <w:r w:rsidRPr="00290DC2">
        <w:rPr>
          <w:szCs w:val="24"/>
        </w:rPr>
        <w:t xml:space="preserve"> website are provided as guidance for consistent GAAP reporting from </w:t>
      </w:r>
      <w:proofErr w:type="gramStart"/>
      <w:r w:rsidRPr="00290DC2">
        <w:rPr>
          <w:szCs w:val="24"/>
        </w:rPr>
        <w:t>all of</w:t>
      </w:r>
      <w:proofErr w:type="gramEnd"/>
      <w:r w:rsidRPr="00290DC2">
        <w:rPr>
          <w:szCs w:val="24"/>
        </w:rPr>
        <w:t xml:space="preserve"> the agencies of the State of South Carolina.  </w:t>
      </w:r>
    </w:p>
    <w:p w14:paraId="77A2256C" w14:textId="77777777" w:rsidR="00896186" w:rsidRPr="00290DC2" w:rsidRDefault="00896186" w:rsidP="00E844A5">
      <w:pPr>
        <w:pStyle w:val="Heading3"/>
      </w:pPr>
      <w:bookmarkStart w:id="26" w:name="_Toc296021421"/>
      <w:bookmarkStart w:id="27" w:name="_Toc296021508"/>
      <w:bookmarkStart w:id="28" w:name="_Toc296235400"/>
      <w:bookmarkStart w:id="29" w:name="_Toc296235501"/>
      <w:bookmarkStart w:id="30" w:name="_Toc296247785"/>
      <w:bookmarkStart w:id="31" w:name="_Toc166149218"/>
      <w:r w:rsidRPr="00290DC2">
        <w:t>The Certificate of Achievement for Excellence in Financial Reporting</w:t>
      </w:r>
      <w:bookmarkEnd w:id="26"/>
      <w:bookmarkEnd w:id="27"/>
      <w:bookmarkEnd w:id="28"/>
      <w:bookmarkEnd w:id="29"/>
      <w:bookmarkEnd w:id="30"/>
      <w:bookmarkEnd w:id="31"/>
    </w:p>
    <w:p w14:paraId="2282A7B5" w14:textId="45F9CDA0" w:rsidR="00896186" w:rsidRPr="00290DC2" w:rsidRDefault="00896186" w:rsidP="00242BCA">
      <w:pPr>
        <w:spacing w:before="40" w:line="280" w:lineRule="exact"/>
        <w:rPr>
          <w:szCs w:val="24"/>
        </w:rPr>
      </w:pPr>
      <w:r w:rsidRPr="00290DC2">
        <w:rPr>
          <w:szCs w:val="24"/>
        </w:rPr>
        <w:t xml:space="preserve">The Government Finance Officers' Association (GFOA) </w:t>
      </w:r>
      <w:r w:rsidR="00012A9C" w:rsidRPr="00290DC2">
        <w:rPr>
          <w:szCs w:val="24"/>
        </w:rPr>
        <w:t xml:space="preserve">encourages governmental entities </w:t>
      </w:r>
      <w:r w:rsidRPr="00290DC2">
        <w:rPr>
          <w:szCs w:val="24"/>
        </w:rPr>
        <w:t>to adhere to high standards of financial reporting</w:t>
      </w:r>
      <w:r w:rsidR="00012A9C" w:rsidRPr="00290DC2">
        <w:rPr>
          <w:szCs w:val="24"/>
        </w:rPr>
        <w:t xml:space="preserve"> through its widely recognized and prestigious awards programs</w:t>
      </w:r>
      <w:r w:rsidRPr="00290DC2">
        <w:rPr>
          <w:szCs w:val="24"/>
        </w:rPr>
        <w:t xml:space="preserve">.  The Certificate of Achievement for Excellence in Financial Reporting </w:t>
      </w:r>
      <w:r w:rsidR="00012A9C" w:rsidRPr="00290DC2">
        <w:rPr>
          <w:szCs w:val="24"/>
        </w:rPr>
        <w:t xml:space="preserve">focuses on the </w:t>
      </w:r>
      <w:r w:rsidRPr="00290DC2">
        <w:rPr>
          <w:szCs w:val="24"/>
        </w:rPr>
        <w:t>standards</w:t>
      </w:r>
      <w:r w:rsidR="00012A9C" w:rsidRPr="00290DC2">
        <w:rPr>
          <w:szCs w:val="24"/>
        </w:rPr>
        <w:t xml:space="preserve"> for </w:t>
      </w:r>
      <w:r w:rsidR="005E0E8A">
        <w:rPr>
          <w:szCs w:val="24"/>
        </w:rPr>
        <w:t xml:space="preserve">Annual </w:t>
      </w:r>
      <w:r w:rsidR="00012A9C" w:rsidRPr="00290DC2">
        <w:rPr>
          <w:szCs w:val="24"/>
        </w:rPr>
        <w:t>Comprehensive Financial Reports (A</w:t>
      </w:r>
      <w:r w:rsidR="005E0E8A">
        <w:rPr>
          <w:szCs w:val="24"/>
        </w:rPr>
        <w:t>C</w:t>
      </w:r>
      <w:r w:rsidR="00012A9C" w:rsidRPr="00290DC2">
        <w:rPr>
          <w:szCs w:val="24"/>
        </w:rPr>
        <w:t>FR)</w:t>
      </w:r>
      <w:r w:rsidRPr="00290DC2">
        <w:rPr>
          <w:szCs w:val="24"/>
        </w:rPr>
        <w:t>.</w:t>
      </w:r>
    </w:p>
    <w:p w14:paraId="09688DD2" w14:textId="1D93980A" w:rsidR="00914D43" w:rsidRDefault="00896186">
      <w:pPr>
        <w:spacing w:line="280" w:lineRule="exact"/>
        <w:rPr>
          <w:szCs w:val="24"/>
        </w:rPr>
      </w:pPr>
      <w:r w:rsidRPr="00290DC2">
        <w:rPr>
          <w:szCs w:val="24"/>
        </w:rPr>
        <w:t>To apply for the Certificate, a government must issue an audited A</w:t>
      </w:r>
      <w:r w:rsidR="005E0E8A">
        <w:rPr>
          <w:szCs w:val="24"/>
        </w:rPr>
        <w:t>C</w:t>
      </w:r>
      <w:r w:rsidRPr="00290DC2">
        <w:rPr>
          <w:szCs w:val="24"/>
        </w:rPr>
        <w:t xml:space="preserve">FR no later than six months after the end of its fiscal year.  </w:t>
      </w:r>
      <w:r w:rsidR="00012A9C" w:rsidRPr="00290DC2">
        <w:rPr>
          <w:szCs w:val="24"/>
        </w:rPr>
        <w:t>The contents of the A</w:t>
      </w:r>
      <w:r w:rsidR="005E0E8A">
        <w:rPr>
          <w:szCs w:val="24"/>
        </w:rPr>
        <w:t>C</w:t>
      </w:r>
      <w:r w:rsidR="00012A9C" w:rsidRPr="00290DC2">
        <w:rPr>
          <w:szCs w:val="24"/>
        </w:rPr>
        <w:t xml:space="preserve">FR are evaluated based on compliance with GAAP, clarity of the information as well as many </w:t>
      </w:r>
      <w:r w:rsidRPr="00290DC2">
        <w:rPr>
          <w:szCs w:val="24"/>
        </w:rPr>
        <w:t>other strin</w:t>
      </w:r>
      <w:r w:rsidR="00012A9C" w:rsidRPr="00290DC2">
        <w:rPr>
          <w:szCs w:val="24"/>
        </w:rPr>
        <w:t>gent reporting standards</w:t>
      </w:r>
      <w:r w:rsidRPr="00290DC2">
        <w:rPr>
          <w:szCs w:val="24"/>
        </w:rPr>
        <w:t xml:space="preserve">.  </w:t>
      </w:r>
    </w:p>
    <w:p w14:paraId="0B155436" w14:textId="3E56FD4D" w:rsidR="00914D43" w:rsidRDefault="00896186">
      <w:pPr>
        <w:spacing w:line="280" w:lineRule="exact"/>
        <w:rPr>
          <w:szCs w:val="24"/>
        </w:rPr>
      </w:pPr>
      <w:r w:rsidRPr="00290DC2">
        <w:rPr>
          <w:szCs w:val="24"/>
        </w:rPr>
        <w:t>In August 1989, South Carolina became the thirteenth state government to receive the GFOA Certificate of Achievement for Excellence in Financial Reporting.  That award was based on the State's 1988 A</w:t>
      </w:r>
      <w:r w:rsidR="005E0E8A">
        <w:rPr>
          <w:szCs w:val="24"/>
        </w:rPr>
        <w:t>C</w:t>
      </w:r>
      <w:r w:rsidRPr="00290DC2">
        <w:rPr>
          <w:szCs w:val="24"/>
        </w:rPr>
        <w:t>FR.  South Carolina has received the award every year since that time.</w:t>
      </w:r>
    </w:p>
    <w:p w14:paraId="4C4C4175" w14:textId="77777777" w:rsidR="00914D43" w:rsidRDefault="00896186">
      <w:pPr>
        <w:rPr>
          <w:szCs w:val="24"/>
        </w:rPr>
      </w:pPr>
      <w:r w:rsidRPr="00290DC2">
        <w:rPr>
          <w:szCs w:val="24"/>
        </w:rPr>
        <w:t>Many cities, counties, and special districts</w:t>
      </w:r>
      <w:r w:rsidR="00880B93" w:rsidRPr="00290DC2">
        <w:rPr>
          <w:szCs w:val="24"/>
        </w:rPr>
        <w:t xml:space="preserve">, </w:t>
      </w:r>
      <w:r w:rsidRPr="00290DC2">
        <w:rPr>
          <w:szCs w:val="24"/>
        </w:rPr>
        <w:t>including several within South Carolina</w:t>
      </w:r>
      <w:r w:rsidR="00880B93" w:rsidRPr="00290DC2">
        <w:rPr>
          <w:szCs w:val="24"/>
        </w:rPr>
        <w:t xml:space="preserve">, </w:t>
      </w:r>
      <w:r w:rsidRPr="00290DC2">
        <w:rPr>
          <w:szCs w:val="24"/>
        </w:rPr>
        <w:t xml:space="preserve">also hold the Certificate.  </w:t>
      </w:r>
    </w:p>
    <w:p w14:paraId="12EFB81C" w14:textId="77777777" w:rsidR="003B02BA" w:rsidRDefault="003B02BA">
      <w:pPr>
        <w:spacing w:before="0" w:after="0"/>
        <w:jc w:val="left"/>
        <w:rPr>
          <w:sz w:val="26"/>
          <w:szCs w:val="24"/>
        </w:rPr>
      </w:pPr>
      <w:bookmarkStart w:id="32" w:name="_Toc296021422"/>
      <w:bookmarkStart w:id="33" w:name="_Toc296021509"/>
      <w:bookmarkStart w:id="34" w:name="_Toc296235401"/>
      <w:bookmarkStart w:id="35" w:name="_Toc296235502"/>
      <w:bookmarkStart w:id="36" w:name="_Toc296247786"/>
      <w:r>
        <w:br w:type="page"/>
      </w:r>
    </w:p>
    <w:p w14:paraId="2477F4EE" w14:textId="7487A5C7" w:rsidR="0012040B" w:rsidRDefault="00290DC2" w:rsidP="003B02BA">
      <w:pPr>
        <w:pStyle w:val="Heading2"/>
      </w:pPr>
      <w:bookmarkStart w:id="37" w:name="_Toc166149219"/>
      <w:r>
        <w:lastRenderedPageBreak/>
        <w:t xml:space="preserve">Section </w:t>
      </w:r>
      <w:r w:rsidR="009B555D">
        <w:t>1.</w:t>
      </w:r>
      <w:r w:rsidR="00C764AD" w:rsidRPr="00290DC2">
        <w:t>2</w:t>
      </w:r>
      <w:r w:rsidR="00896186" w:rsidRPr="00290DC2">
        <w:t xml:space="preserve"> </w:t>
      </w:r>
      <w:r w:rsidR="00AC01F4" w:rsidRPr="00290DC2">
        <w:t xml:space="preserve">YEAR-END REPORTING </w:t>
      </w:r>
      <w:r w:rsidR="00896186" w:rsidRPr="00290DC2">
        <w:t>—AN OVERVIEW</w:t>
      </w:r>
      <w:bookmarkEnd w:id="32"/>
      <w:bookmarkEnd w:id="33"/>
      <w:bookmarkEnd w:id="34"/>
      <w:bookmarkEnd w:id="35"/>
      <w:bookmarkEnd w:id="36"/>
      <w:bookmarkEnd w:id="37"/>
    </w:p>
    <w:p w14:paraId="28FC169E" w14:textId="77777777" w:rsidR="00AC01F4" w:rsidRPr="00290DC2" w:rsidRDefault="00AC01F4" w:rsidP="00E844A5">
      <w:pPr>
        <w:pStyle w:val="Heading3"/>
      </w:pPr>
      <w:bookmarkStart w:id="38" w:name="_Toc296021423"/>
      <w:bookmarkStart w:id="39" w:name="_Toc296021510"/>
      <w:bookmarkStart w:id="40" w:name="_Toc296235402"/>
      <w:bookmarkStart w:id="41" w:name="_Toc296235503"/>
      <w:bookmarkStart w:id="42" w:name="_Toc296247787"/>
      <w:bookmarkStart w:id="43" w:name="_Toc166149220"/>
      <w:r w:rsidRPr="00290DC2">
        <w:t>Responsibilities of the Agency</w:t>
      </w:r>
      <w:bookmarkEnd w:id="38"/>
      <w:bookmarkEnd w:id="39"/>
      <w:bookmarkEnd w:id="40"/>
      <w:bookmarkEnd w:id="41"/>
      <w:bookmarkEnd w:id="42"/>
      <w:bookmarkEnd w:id="43"/>
    </w:p>
    <w:p w14:paraId="69FC822A" w14:textId="77777777" w:rsidR="00F2706A" w:rsidRPr="00290DC2" w:rsidRDefault="00F2706A" w:rsidP="00232443">
      <w:pPr>
        <w:pStyle w:val="BodyText"/>
        <w:rPr>
          <w:szCs w:val="24"/>
        </w:rPr>
      </w:pPr>
      <w:r w:rsidRPr="00290DC2">
        <w:rPr>
          <w:szCs w:val="24"/>
        </w:rPr>
        <w:t>The Agency Director with guidance from his</w:t>
      </w:r>
      <w:r w:rsidR="001C7139" w:rsidRPr="00290DC2">
        <w:rPr>
          <w:szCs w:val="24"/>
        </w:rPr>
        <w:t>/her</w:t>
      </w:r>
      <w:r w:rsidRPr="00290DC2">
        <w:rPr>
          <w:szCs w:val="24"/>
        </w:rPr>
        <w:t xml:space="preserve"> finance personnel </w:t>
      </w:r>
      <w:r w:rsidR="00A71BA4" w:rsidRPr="00290DC2">
        <w:rPr>
          <w:szCs w:val="24"/>
        </w:rPr>
        <w:t>is</w:t>
      </w:r>
      <w:r w:rsidRPr="00290DC2">
        <w:rPr>
          <w:szCs w:val="24"/>
        </w:rPr>
        <w:t xml:space="preserve"> responsible for establishing policies and procedures for the daily operation of the agency including the capture and recording of all financial transactions in accordance with </w:t>
      </w:r>
      <w:r w:rsidR="00A71BA4" w:rsidRPr="00290DC2">
        <w:rPr>
          <w:szCs w:val="24"/>
        </w:rPr>
        <w:t xml:space="preserve">the statutory budget and </w:t>
      </w:r>
      <w:r w:rsidRPr="00290DC2">
        <w:rPr>
          <w:szCs w:val="24"/>
        </w:rPr>
        <w:t xml:space="preserve">GAAP.  </w:t>
      </w:r>
    </w:p>
    <w:p w14:paraId="171A6C23" w14:textId="77777777" w:rsidR="00B81D24" w:rsidRDefault="00F2706A" w:rsidP="00232443">
      <w:pPr>
        <w:pStyle w:val="BodyText"/>
        <w:rPr>
          <w:szCs w:val="24"/>
        </w:rPr>
      </w:pPr>
      <w:r w:rsidRPr="00290DC2">
        <w:rPr>
          <w:szCs w:val="24"/>
        </w:rPr>
        <w:t>Proper internal controls should be established by the Agency to ensure accurate and timely information required for managerial and external agency reporting (which includes the reporting requirement</w:t>
      </w:r>
      <w:r w:rsidR="001C7139" w:rsidRPr="00290DC2">
        <w:rPr>
          <w:szCs w:val="24"/>
        </w:rPr>
        <w:t>s</w:t>
      </w:r>
      <w:r w:rsidRPr="00290DC2">
        <w:rPr>
          <w:szCs w:val="24"/>
        </w:rPr>
        <w:t xml:space="preserve"> of the </w:t>
      </w:r>
      <w:r w:rsidR="007F5F89" w:rsidRPr="00290DC2">
        <w:rPr>
          <w:szCs w:val="24"/>
        </w:rPr>
        <w:t>CGO</w:t>
      </w:r>
      <w:r w:rsidRPr="00290DC2">
        <w:rPr>
          <w:szCs w:val="24"/>
        </w:rPr>
        <w:t xml:space="preserve">).  </w:t>
      </w:r>
      <w:r w:rsidR="00FC1134">
        <w:rPr>
          <w:szCs w:val="24"/>
        </w:rPr>
        <w:t xml:space="preserve">Internal control is a process through which the agency establishes an environment which </w:t>
      </w:r>
      <w:r w:rsidR="00CD5B95">
        <w:rPr>
          <w:szCs w:val="24"/>
        </w:rPr>
        <w:t xml:space="preserve">communicates </w:t>
      </w:r>
      <w:r w:rsidR="00FC1134">
        <w:rPr>
          <w:szCs w:val="24"/>
        </w:rPr>
        <w:t xml:space="preserve">the level of excellence in performance, evaluates the risks of its operations, designs control procedures to mitigate those risks </w:t>
      </w:r>
      <w:proofErr w:type="gramStart"/>
      <w:r w:rsidR="00FC1134">
        <w:rPr>
          <w:szCs w:val="24"/>
        </w:rPr>
        <w:t>in order to</w:t>
      </w:r>
      <w:proofErr w:type="gramEnd"/>
      <w:r w:rsidR="00FC1134">
        <w:rPr>
          <w:szCs w:val="24"/>
        </w:rPr>
        <w:t xml:space="preserve"> achieve the level of excellence established, and reinforces the expectation of excellence through monitoring of risks, performance, and control procedures.  </w:t>
      </w:r>
    </w:p>
    <w:p w14:paraId="6BB33D40" w14:textId="77777777" w:rsidR="00B81D24" w:rsidRDefault="00B81D24" w:rsidP="00232443">
      <w:pPr>
        <w:pStyle w:val="BodyText"/>
        <w:rPr>
          <w:szCs w:val="24"/>
        </w:rPr>
      </w:pPr>
      <w:r>
        <w:rPr>
          <w:szCs w:val="24"/>
        </w:rPr>
        <w:t xml:space="preserve">Internal controls for system access should be established to reduce or eliminate when </w:t>
      </w:r>
      <w:proofErr w:type="gramStart"/>
      <w:r>
        <w:rPr>
          <w:szCs w:val="24"/>
        </w:rPr>
        <w:t>possible</w:t>
      </w:r>
      <w:proofErr w:type="gramEnd"/>
      <w:r>
        <w:rPr>
          <w:szCs w:val="24"/>
        </w:rPr>
        <w:t xml:space="preserve"> conflicts in segregation of duties theory.  Agency Directors are provided the responsibility for assigning access through individual transactions or roles (established by SCEIS) within the information system.  Knowledge of potential conflict between role assignments and between individual transactions is the responsibility of the Agency Director.  The SCEIS team can provide guidance on potential conflict.  The CGO can provide guidance on segregation of duty theory and other internal control design concepts.</w:t>
      </w:r>
    </w:p>
    <w:p w14:paraId="5641A57A" w14:textId="77777777" w:rsidR="00AC01F4" w:rsidRDefault="00FC1134" w:rsidP="00232443">
      <w:pPr>
        <w:pStyle w:val="BodyText"/>
        <w:rPr>
          <w:szCs w:val="24"/>
        </w:rPr>
      </w:pPr>
      <w:r>
        <w:rPr>
          <w:szCs w:val="24"/>
        </w:rPr>
        <w:t xml:space="preserve">Internal control procedures for managerial and external agency reporting should include evaluation of the results of transaction processing.  </w:t>
      </w:r>
      <w:r w:rsidR="00CD5B95">
        <w:rPr>
          <w:szCs w:val="24"/>
        </w:rPr>
        <w:t xml:space="preserve">The results of transaction processing include accounting information typically reviewed in the form of a trial balance.  </w:t>
      </w:r>
      <w:r>
        <w:rPr>
          <w:szCs w:val="24"/>
        </w:rPr>
        <w:t>Controls over transaction processing will only produce the results desired if they are operating as intended.  A review</w:t>
      </w:r>
      <w:r w:rsidR="00CD5B95">
        <w:rPr>
          <w:rStyle w:val="FootnoteReference"/>
          <w:szCs w:val="24"/>
        </w:rPr>
        <w:footnoteReference w:id="1"/>
      </w:r>
      <w:r>
        <w:rPr>
          <w:szCs w:val="24"/>
        </w:rPr>
        <w:t xml:space="preserve"> of the results of the transactions processing through periodic review of general ledger balances provides a detect control which can be used for timely correction of an error, reduction of loss from fraud due to timely detection, and improvements in processes and procedures through a greater understanding of the operations of the agency.</w:t>
      </w:r>
    </w:p>
    <w:p w14:paraId="2F762272" w14:textId="77777777" w:rsidR="00F2706A" w:rsidRPr="00290DC2" w:rsidRDefault="00F2706A" w:rsidP="00F2706A">
      <w:pPr>
        <w:pStyle w:val="BodyText"/>
        <w:rPr>
          <w:szCs w:val="24"/>
        </w:rPr>
      </w:pPr>
      <w:r w:rsidRPr="00290DC2">
        <w:rPr>
          <w:szCs w:val="24"/>
        </w:rPr>
        <w:t xml:space="preserve">The policies documented in this manual are statewide accounting and reporting policies for consistent and comprehensive reporting by the State of South Carolina.  </w:t>
      </w:r>
      <w:r w:rsidR="003F6348" w:rsidRPr="00290DC2">
        <w:rPr>
          <w:szCs w:val="24"/>
        </w:rPr>
        <w:t>If internal controls are included in these policies</w:t>
      </w:r>
      <w:r w:rsidR="00C764AD" w:rsidRPr="00290DC2">
        <w:rPr>
          <w:szCs w:val="24"/>
        </w:rPr>
        <w:t>,</w:t>
      </w:r>
      <w:r w:rsidR="003F6348" w:rsidRPr="00290DC2">
        <w:rPr>
          <w:szCs w:val="24"/>
        </w:rPr>
        <w:t xml:space="preserve"> they should be incorporated with the agency’s designed daily operational controls.  Consistent controls in certain accounting areas provide consistent reporting across all agencies of the state.</w:t>
      </w:r>
    </w:p>
    <w:p w14:paraId="6214432F" w14:textId="77777777" w:rsidR="00896186" w:rsidRPr="00290DC2" w:rsidRDefault="00AC01F4" w:rsidP="00E844A5">
      <w:pPr>
        <w:pStyle w:val="Heading3"/>
      </w:pPr>
      <w:bookmarkStart w:id="44" w:name="_Toc296021424"/>
      <w:bookmarkStart w:id="45" w:name="_Toc296021511"/>
      <w:bookmarkStart w:id="46" w:name="_Toc296235403"/>
      <w:bookmarkStart w:id="47" w:name="_Toc296235504"/>
      <w:bookmarkStart w:id="48" w:name="_Toc296247788"/>
      <w:bookmarkStart w:id="49" w:name="_Toc166149221"/>
      <w:r w:rsidRPr="00290DC2">
        <w:t>Method of Reporting</w:t>
      </w:r>
      <w:bookmarkEnd w:id="44"/>
      <w:bookmarkEnd w:id="45"/>
      <w:bookmarkEnd w:id="46"/>
      <w:bookmarkEnd w:id="47"/>
      <w:bookmarkEnd w:id="48"/>
      <w:bookmarkEnd w:id="49"/>
    </w:p>
    <w:p w14:paraId="3E623EC3" w14:textId="77777777" w:rsidR="00A71BA4" w:rsidRPr="00290DC2" w:rsidRDefault="00A71BA4" w:rsidP="00AC01F4">
      <w:pPr>
        <w:rPr>
          <w:szCs w:val="24"/>
        </w:rPr>
      </w:pPr>
      <w:r w:rsidRPr="00290DC2">
        <w:rPr>
          <w:szCs w:val="24"/>
        </w:rPr>
        <w:t xml:space="preserve">With </w:t>
      </w:r>
      <w:proofErr w:type="gramStart"/>
      <w:r w:rsidRPr="00290DC2">
        <w:rPr>
          <w:szCs w:val="24"/>
        </w:rPr>
        <w:t>the majority of</w:t>
      </w:r>
      <w:proofErr w:type="gramEnd"/>
      <w:r w:rsidRPr="00290DC2">
        <w:rPr>
          <w:szCs w:val="24"/>
        </w:rPr>
        <w:t xml:space="preserve"> the agencies utilizing a statewide enterprise resource management system, the South Carolina Enterprise Information System (SCEIS), information is more readily available to the CGO for reporting.  To reduce the risk of error through keying of amounts in </w:t>
      </w:r>
      <w:r w:rsidR="00743B15">
        <w:rPr>
          <w:szCs w:val="24"/>
        </w:rPr>
        <w:t>reporting forms</w:t>
      </w:r>
      <w:r w:rsidRPr="00290DC2">
        <w:rPr>
          <w:szCs w:val="24"/>
        </w:rPr>
        <w:t xml:space="preserve">, the CGO has </w:t>
      </w:r>
      <w:r w:rsidRPr="00290DC2">
        <w:rPr>
          <w:szCs w:val="24"/>
        </w:rPr>
        <w:lastRenderedPageBreak/>
        <w:t>redesigned the year-end reporting process to allow agencies to provide relevant assertions to the CGO relating to the balances and activity recorded in SCEIS.  This requires that the Agency accept responsibility for the accuracy, understanding, and completeness of the information in its business area and funds within SCEIS.</w:t>
      </w:r>
    </w:p>
    <w:p w14:paraId="5A0E8CC4" w14:textId="7F11E1C4" w:rsidR="001C7139" w:rsidRPr="00290DC2" w:rsidRDefault="00A71BA4" w:rsidP="00B81D24">
      <w:pPr>
        <w:keepLines/>
        <w:rPr>
          <w:szCs w:val="24"/>
        </w:rPr>
      </w:pPr>
      <w:r w:rsidRPr="00290DC2">
        <w:rPr>
          <w:szCs w:val="24"/>
        </w:rPr>
        <w:t>Because not all information required for reporting is recorded in SCEIS</w:t>
      </w:r>
      <w:r w:rsidR="00B81D24">
        <w:rPr>
          <w:szCs w:val="24"/>
        </w:rPr>
        <w:t xml:space="preserve"> or any other enterprise information system</w:t>
      </w:r>
      <w:r w:rsidRPr="00290DC2">
        <w:rPr>
          <w:szCs w:val="24"/>
        </w:rPr>
        <w:t>, t</w:t>
      </w:r>
      <w:r w:rsidR="00AC01F4" w:rsidRPr="00290DC2">
        <w:rPr>
          <w:szCs w:val="24"/>
        </w:rPr>
        <w:t xml:space="preserve">he </w:t>
      </w:r>
      <w:r w:rsidR="007F5F89" w:rsidRPr="00290DC2">
        <w:rPr>
          <w:szCs w:val="24"/>
        </w:rPr>
        <w:t>CGO</w:t>
      </w:r>
      <w:r w:rsidR="00AC01F4" w:rsidRPr="00290DC2">
        <w:rPr>
          <w:szCs w:val="24"/>
        </w:rPr>
        <w:t xml:space="preserve"> must collect certain information from Agency personnel to prepare a</w:t>
      </w:r>
      <w:r w:rsidR="001C7139" w:rsidRPr="00290DC2">
        <w:rPr>
          <w:szCs w:val="24"/>
        </w:rPr>
        <w:t>n accurate,</w:t>
      </w:r>
      <w:r w:rsidR="00AC01F4" w:rsidRPr="00290DC2">
        <w:rPr>
          <w:szCs w:val="24"/>
        </w:rPr>
        <w:t xml:space="preserve"> complete</w:t>
      </w:r>
      <w:r w:rsidR="001C7139" w:rsidRPr="00290DC2">
        <w:rPr>
          <w:szCs w:val="24"/>
        </w:rPr>
        <w:t>,</w:t>
      </w:r>
      <w:r w:rsidR="00AC01F4" w:rsidRPr="00290DC2">
        <w:rPr>
          <w:szCs w:val="24"/>
        </w:rPr>
        <w:t xml:space="preserve"> and comprehensive A</w:t>
      </w:r>
      <w:r w:rsidR="005E0E8A">
        <w:rPr>
          <w:szCs w:val="24"/>
        </w:rPr>
        <w:t>C</w:t>
      </w:r>
      <w:r w:rsidR="00AC01F4" w:rsidRPr="00290DC2">
        <w:rPr>
          <w:szCs w:val="24"/>
        </w:rPr>
        <w:t>FR.  For ease in reporting</w:t>
      </w:r>
      <w:r w:rsidR="001C7139" w:rsidRPr="00290DC2">
        <w:rPr>
          <w:szCs w:val="24"/>
        </w:rPr>
        <w:t xml:space="preserve"> by the agencies,</w:t>
      </w:r>
      <w:r w:rsidR="00AC01F4" w:rsidRPr="00290DC2">
        <w:rPr>
          <w:szCs w:val="24"/>
        </w:rPr>
        <w:t xml:space="preserve"> this information has been divided into complimentary reporting groups for which a reporting package has been developed.  </w:t>
      </w:r>
    </w:p>
    <w:p w14:paraId="7B3B1171" w14:textId="77777777" w:rsidR="006E15A4" w:rsidRPr="00290DC2" w:rsidRDefault="00AC01F4" w:rsidP="00B81D24">
      <w:pPr>
        <w:rPr>
          <w:szCs w:val="24"/>
        </w:rPr>
      </w:pPr>
      <w:r w:rsidRPr="00290DC2">
        <w:rPr>
          <w:szCs w:val="24"/>
        </w:rPr>
        <w:t xml:space="preserve">The </w:t>
      </w:r>
      <w:r w:rsidR="00A71BA4" w:rsidRPr="00290DC2">
        <w:rPr>
          <w:szCs w:val="24"/>
        </w:rPr>
        <w:t xml:space="preserve">objective of the design for </w:t>
      </w:r>
      <w:r w:rsidRPr="00290DC2">
        <w:rPr>
          <w:szCs w:val="24"/>
        </w:rPr>
        <w:t>reporting package</w:t>
      </w:r>
      <w:r w:rsidR="00A71BA4" w:rsidRPr="00290DC2">
        <w:rPr>
          <w:szCs w:val="24"/>
        </w:rPr>
        <w:t>s</w:t>
      </w:r>
      <w:r w:rsidRPr="00290DC2">
        <w:rPr>
          <w:szCs w:val="24"/>
        </w:rPr>
        <w:t xml:space="preserve"> </w:t>
      </w:r>
      <w:r w:rsidR="00A71BA4" w:rsidRPr="00290DC2">
        <w:rPr>
          <w:szCs w:val="24"/>
        </w:rPr>
        <w:t xml:space="preserve">is to </w:t>
      </w:r>
      <w:r w:rsidR="00880B93" w:rsidRPr="00290DC2">
        <w:rPr>
          <w:szCs w:val="24"/>
        </w:rPr>
        <w:t>stimulate</w:t>
      </w:r>
      <w:r w:rsidR="00A71BA4" w:rsidRPr="00290DC2">
        <w:rPr>
          <w:szCs w:val="24"/>
        </w:rPr>
        <w:t xml:space="preserve"> the thought process for year-end to identify the accurate balances</w:t>
      </w:r>
      <w:r w:rsidR="00A66F6B" w:rsidRPr="00290DC2">
        <w:rPr>
          <w:szCs w:val="24"/>
        </w:rPr>
        <w:t xml:space="preserve"> in accordance with GAAP</w:t>
      </w:r>
      <w:r w:rsidR="00A71BA4" w:rsidRPr="00290DC2">
        <w:rPr>
          <w:szCs w:val="24"/>
        </w:rPr>
        <w:t xml:space="preserve">, </w:t>
      </w:r>
      <w:r w:rsidR="001C7139" w:rsidRPr="00290DC2">
        <w:rPr>
          <w:szCs w:val="24"/>
        </w:rPr>
        <w:t xml:space="preserve">the need for year-end adjustments and </w:t>
      </w:r>
      <w:r w:rsidR="00880B93" w:rsidRPr="00290DC2">
        <w:rPr>
          <w:szCs w:val="24"/>
        </w:rPr>
        <w:t xml:space="preserve">for </w:t>
      </w:r>
      <w:r w:rsidR="001C7139" w:rsidRPr="00290DC2">
        <w:rPr>
          <w:szCs w:val="24"/>
        </w:rPr>
        <w:t xml:space="preserve">reporting </w:t>
      </w:r>
      <w:r w:rsidR="00880B93" w:rsidRPr="00290DC2">
        <w:rPr>
          <w:szCs w:val="24"/>
        </w:rPr>
        <w:t xml:space="preserve">purposes the </w:t>
      </w:r>
      <w:r w:rsidR="00A71BA4" w:rsidRPr="00290DC2">
        <w:rPr>
          <w:szCs w:val="24"/>
        </w:rPr>
        <w:t xml:space="preserve">activity that may not be required to be recorded but </w:t>
      </w:r>
      <w:r w:rsidR="00880B93" w:rsidRPr="00290DC2">
        <w:rPr>
          <w:szCs w:val="24"/>
        </w:rPr>
        <w:t>is</w:t>
      </w:r>
      <w:r w:rsidR="00A71BA4" w:rsidRPr="00290DC2">
        <w:rPr>
          <w:szCs w:val="24"/>
        </w:rPr>
        <w:t xml:space="preserve"> required to be reported.  </w:t>
      </w:r>
      <w:r w:rsidR="00A66F6B" w:rsidRPr="00290DC2">
        <w:rPr>
          <w:szCs w:val="24"/>
        </w:rPr>
        <w:t xml:space="preserve">The thought process will include examination and understanding of activity after year-end as well as during the </w:t>
      </w:r>
      <w:r w:rsidR="00880B93" w:rsidRPr="00290DC2">
        <w:rPr>
          <w:szCs w:val="24"/>
        </w:rPr>
        <w:t xml:space="preserve">fiscal </w:t>
      </w:r>
      <w:r w:rsidR="00A66F6B" w:rsidRPr="00290DC2">
        <w:rPr>
          <w:szCs w:val="24"/>
        </w:rPr>
        <w:t xml:space="preserve">year.  </w:t>
      </w:r>
    </w:p>
    <w:p w14:paraId="24191EE1" w14:textId="77777777" w:rsidR="006E15A4" w:rsidRPr="00290DC2" w:rsidRDefault="006E15A4" w:rsidP="00B81D24">
      <w:pPr>
        <w:rPr>
          <w:szCs w:val="24"/>
        </w:rPr>
      </w:pPr>
      <w:r w:rsidRPr="00290DC2">
        <w:rPr>
          <w:szCs w:val="24"/>
        </w:rPr>
        <w:t xml:space="preserve">Reporting package information will be communicated through questionnaires, checklists, financial valuations, and in narrative form.  </w:t>
      </w:r>
    </w:p>
    <w:p w14:paraId="72C256E8" w14:textId="77777777" w:rsidR="00914D43" w:rsidRDefault="006E15A4">
      <w:pPr>
        <w:keepLines/>
        <w:rPr>
          <w:szCs w:val="24"/>
        </w:rPr>
      </w:pPr>
      <w:r w:rsidRPr="00290DC2">
        <w:rPr>
          <w:szCs w:val="24"/>
        </w:rPr>
        <w:t xml:space="preserve">Based on the information provided by the agency, </w:t>
      </w:r>
      <w:r w:rsidR="00896186" w:rsidRPr="00290DC2">
        <w:rPr>
          <w:szCs w:val="24"/>
        </w:rPr>
        <w:t xml:space="preserve">the </w:t>
      </w:r>
      <w:r w:rsidR="007F5F89" w:rsidRPr="00290DC2">
        <w:rPr>
          <w:szCs w:val="24"/>
        </w:rPr>
        <w:t>CGO</w:t>
      </w:r>
      <w:r w:rsidR="00896186" w:rsidRPr="00290DC2">
        <w:rPr>
          <w:szCs w:val="24"/>
        </w:rPr>
        <w:t xml:space="preserve"> </w:t>
      </w:r>
      <w:r w:rsidRPr="00290DC2">
        <w:rPr>
          <w:szCs w:val="24"/>
        </w:rPr>
        <w:t xml:space="preserve">determines if the transactions have been properly reflected for financial statement purposes.  If adjustments are necessary, the </w:t>
      </w:r>
      <w:r w:rsidR="007F5F89" w:rsidRPr="00290DC2">
        <w:rPr>
          <w:szCs w:val="24"/>
        </w:rPr>
        <w:t>CGO</w:t>
      </w:r>
      <w:r w:rsidRPr="00290DC2">
        <w:rPr>
          <w:szCs w:val="24"/>
        </w:rPr>
        <w:t xml:space="preserve"> will notify the agency of the need.  The Agency is responsible for determining appropriate treatment at the </w:t>
      </w:r>
      <w:r w:rsidR="00A66F6B" w:rsidRPr="00290DC2">
        <w:rPr>
          <w:szCs w:val="24"/>
        </w:rPr>
        <w:t xml:space="preserve">fund </w:t>
      </w:r>
      <w:r w:rsidRPr="00290DC2">
        <w:rPr>
          <w:szCs w:val="24"/>
        </w:rPr>
        <w:t xml:space="preserve">level </w:t>
      </w:r>
      <w:r w:rsidR="00A66F6B" w:rsidRPr="00290DC2">
        <w:rPr>
          <w:szCs w:val="24"/>
        </w:rPr>
        <w:t xml:space="preserve">in SCEIS </w:t>
      </w:r>
      <w:r w:rsidRPr="00290DC2">
        <w:rPr>
          <w:szCs w:val="24"/>
        </w:rPr>
        <w:t xml:space="preserve">including appropriate treatment for budgetary purposes.  Communication between the Agency and the </w:t>
      </w:r>
      <w:r w:rsidR="007F5F89" w:rsidRPr="00290DC2">
        <w:rPr>
          <w:szCs w:val="24"/>
        </w:rPr>
        <w:t>CGO</w:t>
      </w:r>
      <w:r w:rsidRPr="00290DC2">
        <w:rPr>
          <w:szCs w:val="24"/>
        </w:rPr>
        <w:t xml:space="preserve"> should be open and cooperative </w:t>
      </w:r>
      <w:r w:rsidR="00A66F6B" w:rsidRPr="00290DC2">
        <w:rPr>
          <w:szCs w:val="24"/>
        </w:rPr>
        <w:t xml:space="preserve">throughout </w:t>
      </w:r>
      <w:r w:rsidRPr="00290DC2">
        <w:rPr>
          <w:szCs w:val="24"/>
        </w:rPr>
        <w:t>th</w:t>
      </w:r>
      <w:r w:rsidR="00A66F6B" w:rsidRPr="00290DC2">
        <w:rPr>
          <w:szCs w:val="24"/>
        </w:rPr>
        <w:t>e</w:t>
      </w:r>
      <w:r w:rsidRPr="00290DC2">
        <w:rPr>
          <w:szCs w:val="24"/>
        </w:rPr>
        <w:t xml:space="preserve"> process.  </w:t>
      </w:r>
    </w:p>
    <w:p w14:paraId="248CF2D3" w14:textId="77777777" w:rsidR="00102EBF" w:rsidRPr="00A61CF7" w:rsidRDefault="00102EBF" w:rsidP="00290DC2">
      <w:pPr>
        <w:keepNext/>
        <w:spacing w:before="240"/>
        <w:rPr>
          <w:i/>
          <w:szCs w:val="24"/>
        </w:rPr>
      </w:pPr>
      <w:r w:rsidRPr="00A61CF7">
        <w:rPr>
          <w:i/>
          <w:szCs w:val="24"/>
        </w:rPr>
        <w:t>Master Reporting Package</w:t>
      </w:r>
      <w:r w:rsidR="00A66F6B" w:rsidRPr="00A61CF7">
        <w:rPr>
          <w:i/>
          <w:szCs w:val="24"/>
        </w:rPr>
        <w:t xml:space="preserve"> Checklist</w:t>
      </w:r>
    </w:p>
    <w:p w14:paraId="4E4C5BE6" w14:textId="0D6D98EB" w:rsidR="006E15A4" w:rsidRPr="00290DC2" w:rsidRDefault="006E15A4" w:rsidP="00B81D24">
      <w:pPr>
        <w:rPr>
          <w:szCs w:val="24"/>
        </w:rPr>
      </w:pPr>
      <w:r w:rsidRPr="00290DC2">
        <w:rPr>
          <w:szCs w:val="24"/>
        </w:rPr>
        <w:t xml:space="preserve">The Master Reporting Package </w:t>
      </w:r>
      <w:r w:rsidR="00A66F6B" w:rsidRPr="00290DC2">
        <w:rPr>
          <w:szCs w:val="24"/>
        </w:rPr>
        <w:t xml:space="preserve">Checklist </w:t>
      </w:r>
      <w:r w:rsidRPr="00290DC2">
        <w:rPr>
          <w:szCs w:val="24"/>
        </w:rPr>
        <w:t xml:space="preserve">is a questionnaire in checklist format to assist the identification of the </w:t>
      </w:r>
      <w:r w:rsidR="00102EBF" w:rsidRPr="00290DC2">
        <w:rPr>
          <w:szCs w:val="24"/>
        </w:rPr>
        <w:t>individual reporting packages applicable to each agency.</w:t>
      </w:r>
      <w:r w:rsidR="00FA7A3D">
        <w:rPr>
          <w:szCs w:val="24"/>
        </w:rPr>
        <w:t xml:space="preserve"> </w:t>
      </w:r>
      <w:r w:rsidR="00102EBF" w:rsidRPr="00290DC2">
        <w:rPr>
          <w:szCs w:val="24"/>
        </w:rPr>
        <w:t>More detailed instructions for the completion of the Master Reporting Package are included in Section 2.0 of this manual.</w:t>
      </w:r>
    </w:p>
    <w:p w14:paraId="626E58D3" w14:textId="77777777" w:rsidR="00914D43" w:rsidRDefault="00102EBF">
      <w:pPr>
        <w:keepLines/>
        <w:spacing w:line="280" w:lineRule="exact"/>
        <w:rPr>
          <w:szCs w:val="24"/>
        </w:rPr>
      </w:pPr>
      <w:r w:rsidRPr="00290DC2">
        <w:rPr>
          <w:szCs w:val="24"/>
        </w:rPr>
        <w:t>Completing the</w:t>
      </w:r>
      <w:r w:rsidRPr="00A61CF7">
        <w:rPr>
          <w:szCs w:val="24"/>
        </w:rPr>
        <w:t xml:space="preserve"> </w:t>
      </w:r>
      <w:r w:rsidR="006B7F84">
        <w:rPr>
          <w:szCs w:val="24"/>
        </w:rPr>
        <w:t xml:space="preserve">Master </w:t>
      </w:r>
      <w:r w:rsidRPr="00A61CF7">
        <w:rPr>
          <w:iCs/>
          <w:szCs w:val="24"/>
        </w:rPr>
        <w:t>Reporting Package Checklist</w:t>
      </w:r>
      <w:r w:rsidRPr="00A61CF7">
        <w:rPr>
          <w:szCs w:val="24"/>
        </w:rPr>
        <w:t xml:space="preserve"> </w:t>
      </w:r>
      <w:r w:rsidRPr="00290DC2">
        <w:rPr>
          <w:szCs w:val="24"/>
        </w:rPr>
        <w:t xml:space="preserve">will help </w:t>
      </w:r>
      <w:r w:rsidR="00B5045C">
        <w:rPr>
          <w:szCs w:val="24"/>
        </w:rPr>
        <w:t>d</w:t>
      </w:r>
      <w:r w:rsidRPr="00290DC2">
        <w:rPr>
          <w:szCs w:val="24"/>
        </w:rPr>
        <w:t xml:space="preserve">etermine which reporting packages </w:t>
      </w:r>
      <w:r w:rsidR="00B5045C">
        <w:rPr>
          <w:szCs w:val="24"/>
        </w:rPr>
        <w:t>the</w:t>
      </w:r>
      <w:r w:rsidRPr="00290DC2">
        <w:rPr>
          <w:szCs w:val="24"/>
        </w:rPr>
        <w:t xml:space="preserve"> agency must complete.  The completed</w:t>
      </w:r>
      <w:r w:rsidRPr="00A61CF7">
        <w:rPr>
          <w:szCs w:val="24"/>
        </w:rPr>
        <w:t xml:space="preserve"> Master </w:t>
      </w:r>
      <w:r w:rsidRPr="00A61CF7">
        <w:rPr>
          <w:iCs/>
          <w:szCs w:val="24"/>
        </w:rPr>
        <w:t>Checklist</w:t>
      </w:r>
      <w:r w:rsidRPr="00A61CF7">
        <w:rPr>
          <w:szCs w:val="24"/>
        </w:rPr>
        <w:t xml:space="preserve"> </w:t>
      </w:r>
      <w:r w:rsidR="00C45B7B" w:rsidRPr="00290DC2">
        <w:rPr>
          <w:szCs w:val="24"/>
        </w:rPr>
        <w:t xml:space="preserve">assists </w:t>
      </w:r>
      <w:r w:rsidRPr="00290DC2">
        <w:rPr>
          <w:szCs w:val="24"/>
        </w:rPr>
        <w:t xml:space="preserve">the </w:t>
      </w:r>
      <w:r w:rsidR="007F5F89" w:rsidRPr="00290DC2">
        <w:rPr>
          <w:szCs w:val="24"/>
        </w:rPr>
        <w:t>CGO</w:t>
      </w:r>
      <w:r w:rsidRPr="00290DC2">
        <w:rPr>
          <w:szCs w:val="24"/>
        </w:rPr>
        <w:t xml:space="preserve"> </w:t>
      </w:r>
      <w:r w:rsidR="00C45B7B" w:rsidRPr="00290DC2">
        <w:rPr>
          <w:szCs w:val="24"/>
        </w:rPr>
        <w:t xml:space="preserve">in identifying the completeness of the information submitted by the agencies.  </w:t>
      </w:r>
    </w:p>
    <w:p w14:paraId="3E52816D" w14:textId="51764DD6" w:rsidR="00914D43" w:rsidRDefault="00102EBF">
      <w:pPr>
        <w:keepLines/>
        <w:spacing w:line="280" w:lineRule="exact"/>
        <w:rPr>
          <w:szCs w:val="24"/>
        </w:rPr>
      </w:pPr>
      <w:r w:rsidRPr="00290DC2">
        <w:rPr>
          <w:szCs w:val="24"/>
        </w:rPr>
        <w:t>The</w:t>
      </w:r>
      <w:r w:rsidRPr="00A61CF7">
        <w:rPr>
          <w:szCs w:val="24"/>
        </w:rPr>
        <w:t xml:space="preserve"> </w:t>
      </w:r>
      <w:r w:rsidR="006B7F84">
        <w:rPr>
          <w:szCs w:val="24"/>
        </w:rPr>
        <w:t xml:space="preserve">Master </w:t>
      </w:r>
      <w:r w:rsidR="00C45B7B" w:rsidRPr="00A61CF7">
        <w:rPr>
          <w:iCs/>
          <w:szCs w:val="24"/>
        </w:rPr>
        <w:t>Reportin</w:t>
      </w:r>
      <w:r w:rsidRPr="00A61CF7">
        <w:rPr>
          <w:iCs/>
          <w:szCs w:val="24"/>
        </w:rPr>
        <w:t>g Package Checklist</w:t>
      </w:r>
      <w:r w:rsidRPr="00A61CF7">
        <w:rPr>
          <w:szCs w:val="24"/>
        </w:rPr>
        <w:t xml:space="preserve"> </w:t>
      </w:r>
      <w:r w:rsidRPr="00290DC2">
        <w:rPr>
          <w:szCs w:val="24"/>
        </w:rPr>
        <w:t>consists of Yes/No questions</w:t>
      </w:r>
      <w:r w:rsidR="00C80D5F" w:rsidRPr="00290DC2">
        <w:rPr>
          <w:szCs w:val="24"/>
        </w:rPr>
        <w:t xml:space="preserve"> for which a drop-down menu has been provided for ease in completion</w:t>
      </w:r>
      <w:r w:rsidRPr="00290DC2">
        <w:rPr>
          <w:szCs w:val="24"/>
        </w:rPr>
        <w:t>.  Complete the</w:t>
      </w:r>
      <w:r w:rsidRPr="00A61CF7">
        <w:rPr>
          <w:szCs w:val="24"/>
        </w:rPr>
        <w:t xml:space="preserve"> </w:t>
      </w:r>
      <w:r w:rsidRPr="00A61CF7">
        <w:rPr>
          <w:iCs/>
          <w:szCs w:val="24"/>
        </w:rPr>
        <w:t>Checklist</w:t>
      </w:r>
      <w:r w:rsidRPr="00A61CF7">
        <w:rPr>
          <w:szCs w:val="24"/>
        </w:rPr>
        <w:t xml:space="preserve"> </w:t>
      </w:r>
      <w:r w:rsidRPr="00290DC2">
        <w:rPr>
          <w:szCs w:val="24"/>
        </w:rPr>
        <w:t xml:space="preserve">and </w:t>
      </w:r>
      <w:r w:rsidR="00FA7A3D">
        <w:rPr>
          <w:szCs w:val="24"/>
        </w:rPr>
        <w:t>submit</w:t>
      </w:r>
      <w:r w:rsidRPr="00290DC2">
        <w:rPr>
          <w:szCs w:val="24"/>
        </w:rPr>
        <w:t xml:space="preserve"> it to the </w:t>
      </w:r>
      <w:r w:rsidR="007F5F89" w:rsidRPr="00290DC2">
        <w:rPr>
          <w:szCs w:val="24"/>
        </w:rPr>
        <w:t>CGO</w:t>
      </w:r>
      <w:r w:rsidRPr="00290DC2">
        <w:rPr>
          <w:szCs w:val="24"/>
        </w:rPr>
        <w:t xml:space="preserve"> </w:t>
      </w:r>
      <w:r w:rsidR="00BD1D2D">
        <w:rPr>
          <w:b/>
          <w:szCs w:val="24"/>
        </w:rPr>
        <w:t>by the established deadline</w:t>
      </w:r>
      <w:r w:rsidRPr="00290DC2">
        <w:rPr>
          <w:szCs w:val="24"/>
        </w:rPr>
        <w:t xml:space="preserve"> each year.  </w:t>
      </w:r>
    </w:p>
    <w:p w14:paraId="7E3C0637" w14:textId="67415F2B" w:rsidR="00914D43" w:rsidRDefault="00102EBF">
      <w:pPr>
        <w:spacing w:line="280" w:lineRule="exact"/>
        <w:rPr>
          <w:szCs w:val="24"/>
        </w:rPr>
      </w:pPr>
      <w:r w:rsidRPr="00290DC2">
        <w:rPr>
          <w:szCs w:val="24"/>
        </w:rPr>
        <w:t>Agency accountants should not underestimate the importance of correctly completing the</w:t>
      </w:r>
      <w:r w:rsidRPr="00A61CF7">
        <w:rPr>
          <w:szCs w:val="24"/>
        </w:rPr>
        <w:t xml:space="preserve"> </w:t>
      </w:r>
      <w:r w:rsidR="006B7F84">
        <w:rPr>
          <w:szCs w:val="24"/>
        </w:rPr>
        <w:t xml:space="preserve">Master </w:t>
      </w:r>
      <w:r w:rsidR="00C45B7B" w:rsidRPr="00A61CF7">
        <w:rPr>
          <w:iCs/>
          <w:szCs w:val="24"/>
        </w:rPr>
        <w:t>Reporting</w:t>
      </w:r>
      <w:r w:rsidRPr="00A61CF7">
        <w:rPr>
          <w:iCs/>
          <w:szCs w:val="24"/>
        </w:rPr>
        <w:t xml:space="preserve"> Package Checklist</w:t>
      </w:r>
      <w:r w:rsidRPr="00A61CF7">
        <w:rPr>
          <w:szCs w:val="24"/>
        </w:rPr>
        <w:t xml:space="preserve">.  In preparing and auditing the statewide financial statements, the </w:t>
      </w:r>
      <w:r w:rsidRPr="00290DC2">
        <w:rPr>
          <w:szCs w:val="24"/>
        </w:rPr>
        <w:t xml:space="preserve">Comptroller General’s Office and the statewide auditors rely on </w:t>
      </w:r>
      <w:r w:rsidR="00C80D5F" w:rsidRPr="00290DC2">
        <w:rPr>
          <w:szCs w:val="24"/>
        </w:rPr>
        <w:t>assertions (</w:t>
      </w:r>
      <w:r w:rsidRPr="00290DC2">
        <w:rPr>
          <w:szCs w:val="24"/>
        </w:rPr>
        <w:t>representations</w:t>
      </w:r>
      <w:r w:rsidR="00C80D5F" w:rsidRPr="00290DC2">
        <w:rPr>
          <w:szCs w:val="24"/>
        </w:rPr>
        <w:t>)</w:t>
      </w:r>
      <w:r w:rsidRPr="00290DC2">
        <w:rPr>
          <w:szCs w:val="24"/>
        </w:rPr>
        <w:t xml:space="preserve"> that the agencies make when they complete th</w:t>
      </w:r>
      <w:r w:rsidR="00C45B7B" w:rsidRPr="00290DC2">
        <w:rPr>
          <w:szCs w:val="24"/>
        </w:rPr>
        <w:t>is</w:t>
      </w:r>
      <w:r w:rsidRPr="00A61CF7">
        <w:rPr>
          <w:szCs w:val="24"/>
        </w:rPr>
        <w:t xml:space="preserve"> </w:t>
      </w:r>
      <w:r w:rsidR="00FA7A3D">
        <w:rPr>
          <w:szCs w:val="24"/>
        </w:rPr>
        <w:t xml:space="preserve">Master </w:t>
      </w:r>
      <w:r w:rsidR="00C45B7B" w:rsidRPr="00A61CF7">
        <w:rPr>
          <w:iCs/>
          <w:szCs w:val="24"/>
        </w:rPr>
        <w:t>Reporting</w:t>
      </w:r>
      <w:r w:rsidRPr="00A61CF7">
        <w:rPr>
          <w:iCs/>
          <w:szCs w:val="24"/>
        </w:rPr>
        <w:t xml:space="preserve"> Package Checklist</w:t>
      </w:r>
      <w:r w:rsidRPr="00A61CF7">
        <w:rPr>
          <w:szCs w:val="24"/>
        </w:rPr>
        <w:t xml:space="preserve"> </w:t>
      </w:r>
      <w:r w:rsidRPr="00290DC2">
        <w:rPr>
          <w:szCs w:val="24"/>
        </w:rPr>
        <w:t xml:space="preserve">and </w:t>
      </w:r>
      <w:r w:rsidR="000F7564">
        <w:rPr>
          <w:szCs w:val="24"/>
        </w:rPr>
        <w:t>other</w:t>
      </w:r>
      <w:r w:rsidR="000F7564" w:rsidRPr="00290DC2">
        <w:rPr>
          <w:szCs w:val="24"/>
        </w:rPr>
        <w:t xml:space="preserve"> </w:t>
      </w:r>
      <w:r w:rsidR="00C45B7B" w:rsidRPr="00290DC2">
        <w:rPr>
          <w:szCs w:val="24"/>
        </w:rPr>
        <w:t xml:space="preserve">reporting </w:t>
      </w:r>
      <w:r w:rsidRPr="00290DC2">
        <w:rPr>
          <w:szCs w:val="24"/>
        </w:rPr>
        <w:t>packages.</w:t>
      </w:r>
    </w:p>
    <w:p w14:paraId="5FC76117" w14:textId="77777777" w:rsidR="00C45B7B" w:rsidRPr="00A61CF7" w:rsidRDefault="00C45B7B" w:rsidP="00291D34">
      <w:pPr>
        <w:keepNext/>
        <w:spacing w:before="240"/>
        <w:rPr>
          <w:i/>
          <w:szCs w:val="24"/>
        </w:rPr>
      </w:pPr>
      <w:r w:rsidRPr="00A61CF7">
        <w:rPr>
          <w:i/>
          <w:szCs w:val="24"/>
        </w:rPr>
        <w:lastRenderedPageBreak/>
        <w:t xml:space="preserve">The Features of Reporting Packages </w:t>
      </w:r>
    </w:p>
    <w:p w14:paraId="7EE4ABF5" w14:textId="77777777" w:rsidR="00896186" w:rsidRPr="00290DC2" w:rsidRDefault="00896186" w:rsidP="00A01BAE">
      <w:pPr>
        <w:keepNext/>
        <w:spacing w:after="60"/>
        <w:rPr>
          <w:szCs w:val="24"/>
        </w:rPr>
      </w:pPr>
      <w:r w:rsidRPr="00290DC2">
        <w:rPr>
          <w:szCs w:val="24"/>
        </w:rPr>
        <w:t xml:space="preserve">Important features of </w:t>
      </w:r>
      <w:r w:rsidR="00C45B7B" w:rsidRPr="00290DC2">
        <w:rPr>
          <w:szCs w:val="24"/>
        </w:rPr>
        <w:t>reporting</w:t>
      </w:r>
      <w:r w:rsidRPr="00290DC2">
        <w:rPr>
          <w:szCs w:val="24"/>
        </w:rPr>
        <w:t xml:space="preserve"> packages include the following:</w:t>
      </w:r>
    </w:p>
    <w:p w14:paraId="25A5D8D5" w14:textId="77777777" w:rsidR="0012040B" w:rsidRDefault="00896186" w:rsidP="00A977AC">
      <w:pPr>
        <w:pStyle w:val="Bullet0"/>
      </w:pPr>
      <w:r w:rsidRPr="00290DC2">
        <w:t xml:space="preserve">Agencies complete </w:t>
      </w:r>
      <w:r w:rsidR="00C45B7B" w:rsidRPr="00290DC2">
        <w:t>reporting</w:t>
      </w:r>
      <w:r w:rsidR="0014138E" w:rsidRPr="00290DC2">
        <w:t xml:space="preserve"> packages as of and for the year-ending </w:t>
      </w:r>
      <w:r w:rsidRPr="00290DC2">
        <w:t xml:space="preserve">June 30.  That is, </w:t>
      </w:r>
      <w:r w:rsidR="003A6BBD" w:rsidRPr="00290DC2">
        <w:t>r</w:t>
      </w:r>
      <w:r w:rsidRPr="00290DC2">
        <w:t>eport</w:t>
      </w:r>
      <w:r w:rsidR="0014138E" w:rsidRPr="00290DC2">
        <w:t>ing package</w:t>
      </w:r>
      <w:r w:rsidR="003A6BBD" w:rsidRPr="00290DC2">
        <w:t>s</w:t>
      </w:r>
      <w:r w:rsidR="0014138E" w:rsidRPr="00290DC2">
        <w:t xml:space="preserve"> </w:t>
      </w:r>
      <w:r w:rsidR="003A6BBD" w:rsidRPr="00290DC2">
        <w:t>are prepared once annually</w:t>
      </w:r>
      <w:r w:rsidRPr="00290DC2">
        <w:t>.</w:t>
      </w:r>
    </w:p>
    <w:p w14:paraId="667C1C8C" w14:textId="526AFDC8" w:rsidR="0012040B" w:rsidRDefault="00896186" w:rsidP="00A977AC">
      <w:pPr>
        <w:pStyle w:val="Bullet0"/>
      </w:pPr>
      <w:r w:rsidRPr="00290DC2">
        <w:t xml:space="preserve">Agencies complete only the </w:t>
      </w:r>
      <w:r w:rsidR="00C45B7B" w:rsidRPr="00290DC2">
        <w:t>reporting</w:t>
      </w:r>
      <w:r w:rsidRPr="00290DC2">
        <w:t xml:space="preserve"> packages that apply to them</w:t>
      </w:r>
      <w:r w:rsidR="00654C66">
        <w:t xml:space="preserve">, </w:t>
      </w:r>
      <w:r w:rsidRPr="00290DC2">
        <w:t xml:space="preserve">not all packages.  A Master </w:t>
      </w:r>
      <w:r w:rsidR="00C45B7B" w:rsidRPr="00290DC2">
        <w:t>Reporting</w:t>
      </w:r>
      <w:r w:rsidRPr="00290DC2">
        <w:t xml:space="preserve"> Package </w:t>
      </w:r>
      <w:r w:rsidR="00C80D5F" w:rsidRPr="00290DC2">
        <w:t xml:space="preserve">Checklist </w:t>
      </w:r>
      <w:r w:rsidRPr="00290DC2">
        <w:t>(see Section</w:t>
      </w:r>
      <w:r w:rsidR="00C45B7B" w:rsidRPr="00290DC2">
        <w:t xml:space="preserve"> </w:t>
      </w:r>
      <w:r w:rsidRPr="00290DC2">
        <w:t xml:space="preserve">2.0) </w:t>
      </w:r>
      <w:r w:rsidR="00C45B7B" w:rsidRPr="00290DC2">
        <w:t xml:space="preserve">assists </w:t>
      </w:r>
      <w:r w:rsidRPr="00290DC2">
        <w:t xml:space="preserve">agencies </w:t>
      </w:r>
      <w:r w:rsidR="00C45B7B" w:rsidRPr="00290DC2">
        <w:t xml:space="preserve">in </w:t>
      </w:r>
      <w:r w:rsidRPr="00290DC2">
        <w:t>determin</w:t>
      </w:r>
      <w:r w:rsidR="00C45B7B" w:rsidRPr="00290DC2">
        <w:t>ing</w:t>
      </w:r>
      <w:r w:rsidRPr="00290DC2">
        <w:t xml:space="preserve"> which packages apply to them.</w:t>
      </w:r>
      <w:r w:rsidR="003A01C5">
        <w:t xml:space="preserve">  Use tab labeled “required packages” to guide in the pack</w:t>
      </w:r>
      <w:r w:rsidR="00F678F7">
        <w:t>age</w:t>
      </w:r>
      <w:r w:rsidR="003A01C5">
        <w:t>s needed to be completed and submitted to the CG’s office.</w:t>
      </w:r>
    </w:p>
    <w:p w14:paraId="42601767" w14:textId="77777777" w:rsidR="0012040B" w:rsidRDefault="00654C66" w:rsidP="00A977AC">
      <w:pPr>
        <w:pStyle w:val="Bullet0"/>
      </w:pPr>
      <w:r>
        <w:t>The Reporting Packages are similarly numbered to sections within the Reporting Procedures Manual Part III</w:t>
      </w:r>
      <w:r w:rsidR="00B81D24">
        <w:t xml:space="preserve"> to provide correlation between the policies and guidance and the packages and forms</w:t>
      </w:r>
      <w:r>
        <w:t>.</w:t>
      </w:r>
    </w:p>
    <w:p w14:paraId="7B6E9D83" w14:textId="77777777" w:rsidR="0012040B" w:rsidRDefault="00654C66" w:rsidP="00A977AC">
      <w:pPr>
        <w:pStyle w:val="Bullet0"/>
      </w:pPr>
      <w:r>
        <w:t xml:space="preserve">The Reporting Packages are a single workbook with worksheets that include </w:t>
      </w:r>
      <w:r w:rsidR="00A61CF7">
        <w:t>i</w:t>
      </w:r>
      <w:r w:rsidR="00985ACE" w:rsidRPr="00290DC2">
        <w:t>nstructions</w:t>
      </w:r>
      <w:r>
        <w:t xml:space="preserve">, </w:t>
      </w:r>
      <w:r w:rsidR="00B843C9">
        <w:t xml:space="preserve">a signature page, </w:t>
      </w:r>
      <w:r>
        <w:t xml:space="preserve">reporting forms, and </w:t>
      </w:r>
      <w:r w:rsidR="00B843C9">
        <w:t xml:space="preserve">a </w:t>
      </w:r>
      <w:r>
        <w:t xml:space="preserve">reviewer’s checklist.  </w:t>
      </w:r>
    </w:p>
    <w:p w14:paraId="5D9D9549" w14:textId="77777777" w:rsidR="00914D43" w:rsidRDefault="006B7F84">
      <w:pPr>
        <w:keepNext/>
        <w:rPr>
          <w:szCs w:val="24"/>
        </w:rPr>
      </w:pPr>
      <w:r>
        <w:rPr>
          <w:szCs w:val="24"/>
        </w:rPr>
        <w:t>The instructions for e</w:t>
      </w:r>
      <w:r w:rsidR="00896186" w:rsidRPr="00290DC2">
        <w:rPr>
          <w:szCs w:val="24"/>
        </w:rPr>
        <w:t xml:space="preserve">ach </w:t>
      </w:r>
      <w:r w:rsidR="0014138E" w:rsidRPr="00290DC2">
        <w:rPr>
          <w:szCs w:val="24"/>
        </w:rPr>
        <w:t>reporting</w:t>
      </w:r>
      <w:r w:rsidR="00896186" w:rsidRPr="00290DC2">
        <w:rPr>
          <w:szCs w:val="24"/>
        </w:rPr>
        <w:t xml:space="preserve"> package</w:t>
      </w:r>
      <w:r w:rsidR="00654C66">
        <w:rPr>
          <w:szCs w:val="24"/>
        </w:rPr>
        <w:t xml:space="preserve"> </w:t>
      </w:r>
      <w:r w:rsidR="00A61CF7">
        <w:rPr>
          <w:szCs w:val="24"/>
        </w:rPr>
        <w:t>include a purpose and objective</w:t>
      </w:r>
      <w:r w:rsidR="00654C66">
        <w:rPr>
          <w:szCs w:val="24"/>
        </w:rPr>
        <w:t xml:space="preserve"> statement to briefly describe the area of accounting information to </w:t>
      </w:r>
      <w:r w:rsidR="00A61CF7">
        <w:rPr>
          <w:szCs w:val="24"/>
        </w:rPr>
        <w:t>be</w:t>
      </w:r>
      <w:r>
        <w:rPr>
          <w:szCs w:val="24"/>
        </w:rPr>
        <w:t>ing</w:t>
      </w:r>
      <w:r w:rsidR="00A61CF7">
        <w:rPr>
          <w:szCs w:val="24"/>
        </w:rPr>
        <w:t xml:space="preserve"> reported and</w:t>
      </w:r>
      <w:r w:rsidR="00654C66">
        <w:rPr>
          <w:szCs w:val="24"/>
        </w:rPr>
        <w:t xml:space="preserve"> instructions for completion of the form which describe features of the form designed for convenience and emphasize components of information that are not specifically defined on the reporting forms.  </w:t>
      </w:r>
    </w:p>
    <w:p w14:paraId="2F277C1D" w14:textId="77777777" w:rsidR="00FA7A3D" w:rsidRDefault="00FA7A3D" w:rsidP="00CF008D">
      <w:pPr>
        <w:keepLines/>
        <w:widowControl w:val="0"/>
        <w:rPr>
          <w:szCs w:val="24"/>
        </w:rPr>
      </w:pPr>
      <w:r>
        <w:rPr>
          <w:szCs w:val="24"/>
        </w:rPr>
        <w:t>Some r</w:t>
      </w:r>
      <w:r w:rsidR="00654C66">
        <w:rPr>
          <w:szCs w:val="24"/>
        </w:rPr>
        <w:t xml:space="preserve">eporting packages </w:t>
      </w:r>
      <w:r w:rsidR="00896186" w:rsidRPr="00290DC2">
        <w:rPr>
          <w:szCs w:val="24"/>
        </w:rPr>
        <w:t xml:space="preserve">are available </w:t>
      </w:r>
      <w:r w:rsidR="00801226">
        <w:rPr>
          <w:szCs w:val="24"/>
        </w:rPr>
        <w:t>as</w:t>
      </w:r>
      <w:r w:rsidR="00896186" w:rsidRPr="00290DC2">
        <w:rPr>
          <w:szCs w:val="24"/>
        </w:rPr>
        <w:t xml:space="preserve"> an Excel workbook that </w:t>
      </w:r>
      <w:r w:rsidR="004F54E4" w:rsidRPr="00290DC2">
        <w:rPr>
          <w:szCs w:val="24"/>
        </w:rPr>
        <w:t xml:space="preserve">can be </w:t>
      </w:r>
      <w:r w:rsidR="00896186" w:rsidRPr="00290DC2">
        <w:rPr>
          <w:szCs w:val="24"/>
        </w:rPr>
        <w:t>download</w:t>
      </w:r>
      <w:r w:rsidR="004F54E4" w:rsidRPr="00290DC2">
        <w:rPr>
          <w:szCs w:val="24"/>
        </w:rPr>
        <w:t>ed</w:t>
      </w:r>
      <w:r w:rsidR="00896186" w:rsidRPr="00290DC2">
        <w:rPr>
          <w:szCs w:val="24"/>
        </w:rPr>
        <w:t xml:space="preserve"> from the </w:t>
      </w:r>
      <w:r w:rsidR="004F54E4" w:rsidRPr="00290DC2">
        <w:rPr>
          <w:szCs w:val="24"/>
        </w:rPr>
        <w:t>Comptroller General's Office website</w:t>
      </w:r>
      <w:r>
        <w:rPr>
          <w:szCs w:val="24"/>
        </w:rPr>
        <w:t xml:space="preserve"> and all other reporting packages will be completed in Workiva. Please reference Appendix E for the method of submission that should be used for each reporting package. </w:t>
      </w:r>
    </w:p>
    <w:p w14:paraId="0175048A" w14:textId="2C1E825D" w:rsidR="00896186" w:rsidRDefault="00FA7A3D" w:rsidP="00CF008D">
      <w:pPr>
        <w:keepLines/>
        <w:widowControl w:val="0"/>
        <w:rPr>
          <w:szCs w:val="24"/>
        </w:rPr>
      </w:pPr>
      <w:r>
        <w:rPr>
          <w:szCs w:val="24"/>
        </w:rPr>
        <w:t xml:space="preserve">For reporting packages that are to be submitted as an Excel workbook, submissions must be </w:t>
      </w:r>
      <w:r w:rsidR="00672613">
        <w:rPr>
          <w:szCs w:val="24"/>
        </w:rPr>
        <w:t xml:space="preserve">emailed to </w:t>
      </w:r>
      <w:r w:rsidR="00697DBC">
        <w:rPr>
          <w:szCs w:val="24"/>
        </w:rPr>
        <w:t>A</w:t>
      </w:r>
      <w:r w:rsidR="005E0E8A">
        <w:rPr>
          <w:szCs w:val="24"/>
        </w:rPr>
        <w:t>C</w:t>
      </w:r>
      <w:r w:rsidR="00697DBC">
        <w:rPr>
          <w:szCs w:val="24"/>
        </w:rPr>
        <w:t xml:space="preserve">FR@cg.sc.gov.  Scan and email in pdf format the signature page. </w:t>
      </w:r>
      <w:r w:rsidR="00B843C9">
        <w:rPr>
          <w:szCs w:val="24"/>
        </w:rPr>
        <w:t xml:space="preserve"> </w:t>
      </w:r>
    </w:p>
    <w:p w14:paraId="013BCEA5" w14:textId="297BF610" w:rsidR="00F42FD5" w:rsidRDefault="00F42FD5" w:rsidP="00B53E30">
      <w:pPr>
        <w:keepLines/>
        <w:widowControl w:val="0"/>
        <w:tabs>
          <w:tab w:val="left" w:pos="2520"/>
          <w:tab w:val="left" w:pos="2880"/>
        </w:tabs>
        <w:rPr>
          <w:szCs w:val="24"/>
        </w:rPr>
      </w:pPr>
      <w:r>
        <w:rPr>
          <w:szCs w:val="24"/>
        </w:rPr>
        <w:t>For any questions related to Financial Reporting or Year-end Reporting Package</w:t>
      </w:r>
      <w:r w:rsidR="00FA7A3D">
        <w:rPr>
          <w:szCs w:val="24"/>
        </w:rPr>
        <w:t>,</w:t>
      </w:r>
      <w:r>
        <w:rPr>
          <w:szCs w:val="24"/>
        </w:rPr>
        <w:t xml:space="preserve"> please feel free to contact </w:t>
      </w:r>
      <w:r w:rsidR="00697DBC">
        <w:rPr>
          <w:szCs w:val="24"/>
        </w:rPr>
        <w:t>by email A</w:t>
      </w:r>
      <w:r w:rsidR="005E0E8A">
        <w:rPr>
          <w:szCs w:val="24"/>
        </w:rPr>
        <w:t>C</w:t>
      </w:r>
      <w:r w:rsidR="00697DBC">
        <w:rPr>
          <w:szCs w:val="24"/>
        </w:rPr>
        <w:t>FR@cg.sc.gov.</w:t>
      </w:r>
    </w:p>
    <w:p w14:paraId="6E733F5F" w14:textId="77777777" w:rsidR="00F42FD5" w:rsidRPr="00290DC2" w:rsidRDefault="00F42FD5" w:rsidP="00CF008D">
      <w:pPr>
        <w:keepLines/>
        <w:widowControl w:val="0"/>
        <w:rPr>
          <w:szCs w:val="24"/>
        </w:rPr>
      </w:pPr>
    </w:p>
    <w:p w14:paraId="56530406" w14:textId="77777777" w:rsidR="00896186" w:rsidRPr="00290DC2" w:rsidRDefault="00896186" w:rsidP="00E844A5">
      <w:pPr>
        <w:pStyle w:val="Heading3"/>
      </w:pPr>
      <w:bookmarkStart w:id="50" w:name="_Toc296021425"/>
      <w:bookmarkStart w:id="51" w:name="_Toc296021512"/>
      <w:bookmarkStart w:id="52" w:name="_Toc296235404"/>
      <w:bookmarkStart w:id="53" w:name="_Toc296235505"/>
      <w:bookmarkStart w:id="54" w:name="_Toc296247789"/>
      <w:bookmarkStart w:id="55" w:name="_Toc166149222"/>
      <w:r w:rsidRPr="00290DC2">
        <w:t>Your Valuable Input</w:t>
      </w:r>
      <w:bookmarkEnd w:id="50"/>
      <w:bookmarkEnd w:id="51"/>
      <w:bookmarkEnd w:id="52"/>
      <w:bookmarkEnd w:id="53"/>
      <w:bookmarkEnd w:id="54"/>
      <w:bookmarkEnd w:id="55"/>
    </w:p>
    <w:p w14:paraId="49CE4A0C" w14:textId="77777777" w:rsidR="00896186" w:rsidRPr="00290DC2" w:rsidRDefault="00896186" w:rsidP="00A01BAE">
      <w:pPr>
        <w:spacing w:before="40" w:line="280" w:lineRule="exact"/>
        <w:rPr>
          <w:szCs w:val="24"/>
        </w:rPr>
      </w:pPr>
      <w:r w:rsidRPr="00290DC2">
        <w:rPr>
          <w:szCs w:val="24"/>
        </w:rPr>
        <w:t xml:space="preserve">The Comptroller General's Office has tried to make the </w:t>
      </w:r>
      <w:r w:rsidR="004F54E4" w:rsidRPr="00290DC2">
        <w:rPr>
          <w:szCs w:val="24"/>
        </w:rPr>
        <w:t>reporting</w:t>
      </w:r>
      <w:r w:rsidRPr="00290DC2">
        <w:rPr>
          <w:szCs w:val="24"/>
        </w:rPr>
        <w:t xml:space="preserve"> packages easy to read and consistent.  </w:t>
      </w:r>
    </w:p>
    <w:p w14:paraId="09FB8F78" w14:textId="24E79B35" w:rsidR="00896186" w:rsidRDefault="00896186" w:rsidP="00A61CF7">
      <w:pPr>
        <w:spacing w:line="280" w:lineRule="exact"/>
        <w:rPr>
          <w:szCs w:val="24"/>
        </w:rPr>
      </w:pPr>
      <w:r w:rsidRPr="00290DC2">
        <w:rPr>
          <w:szCs w:val="24"/>
        </w:rPr>
        <w:t>To propose improvements</w:t>
      </w:r>
      <w:r w:rsidR="00672613">
        <w:rPr>
          <w:szCs w:val="24"/>
        </w:rPr>
        <w:t xml:space="preserve"> to the reporting package</w:t>
      </w:r>
      <w:r w:rsidRPr="00290DC2">
        <w:rPr>
          <w:szCs w:val="24"/>
        </w:rPr>
        <w:t xml:space="preserve">, please </w:t>
      </w:r>
      <w:r w:rsidR="003A6BBD" w:rsidRPr="00290DC2">
        <w:rPr>
          <w:szCs w:val="24"/>
        </w:rPr>
        <w:t xml:space="preserve">send an email to </w:t>
      </w:r>
      <w:hyperlink r:id="rId11" w:history="1">
        <w:r w:rsidR="005E0E8A" w:rsidRPr="009F1D3A">
          <w:rPr>
            <w:rStyle w:val="Hyperlink"/>
            <w:szCs w:val="24"/>
          </w:rPr>
          <w:t>ACFR@cg.sc.gov</w:t>
        </w:r>
      </w:hyperlink>
      <w:r w:rsidR="00697DBC">
        <w:rPr>
          <w:szCs w:val="24"/>
        </w:rPr>
        <w:t xml:space="preserve"> </w:t>
      </w:r>
      <w:r w:rsidRPr="00290DC2">
        <w:rPr>
          <w:szCs w:val="24"/>
        </w:rPr>
        <w:t>.</w:t>
      </w:r>
    </w:p>
    <w:p w14:paraId="12BBB1A8" w14:textId="77777777" w:rsidR="00BC73BF" w:rsidRDefault="00BC73BF" w:rsidP="00A61CF7">
      <w:pPr>
        <w:spacing w:line="280" w:lineRule="exact"/>
        <w:rPr>
          <w:szCs w:val="24"/>
        </w:rPr>
      </w:pPr>
    </w:p>
    <w:p w14:paraId="459B4350" w14:textId="77777777" w:rsidR="00BC73BF" w:rsidRDefault="00BC73BF" w:rsidP="00A61CF7">
      <w:pPr>
        <w:spacing w:line="280" w:lineRule="exact"/>
        <w:rPr>
          <w:szCs w:val="24"/>
        </w:rPr>
      </w:pPr>
    </w:p>
    <w:p w14:paraId="70722043" w14:textId="77777777" w:rsidR="00BC73BF" w:rsidRPr="00290DC2" w:rsidRDefault="00BC73BF" w:rsidP="00A61CF7">
      <w:pPr>
        <w:spacing w:line="280" w:lineRule="exact"/>
        <w:rPr>
          <w:szCs w:val="24"/>
        </w:rPr>
      </w:pPr>
    </w:p>
    <w:p w14:paraId="654CA020" w14:textId="77777777" w:rsidR="0012040B" w:rsidRDefault="00290DC2" w:rsidP="003B02BA">
      <w:pPr>
        <w:pStyle w:val="Heading2"/>
      </w:pPr>
      <w:bookmarkStart w:id="56" w:name="_Toc296021426"/>
      <w:bookmarkStart w:id="57" w:name="_Toc296021513"/>
      <w:bookmarkStart w:id="58" w:name="_Toc296235405"/>
      <w:bookmarkStart w:id="59" w:name="_Toc296235506"/>
      <w:bookmarkStart w:id="60" w:name="_Toc296247790"/>
      <w:bookmarkStart w:id="61" w:name="_Toc166149223"/>
      <w:r>
        <w:lastRenderedPageBreak/>
        <w:t xml:space="preserve">Section </w:t>
      </w:r>
      <w:r w:rsidR="009B555D">
        <w:t>1</w:t>
      </w:r>
      <w:r w:rsidR="00896186" w:rsidRPr="00290DC2">
        <w:t>.4 AGENCY TRAINING</w:t>
      </w:r>
      <w:bookmarkEnd w:id="56"/>
      <w:bookmarkEnd w:id="57"/>
      <w:bookmarkEnd w:id="58"/>
      <w:bookmarkEnd w:id="59"/>
      <w:bookmarkEnd w:id="60"/>
      <w:bookmarkEnd w:id="61"/>
    </w:p>
    <w:p w14:paraId="47A7DA25" w14:textId="77777777" w:rsidR="003A6BBD" w:rsidRPr="00290DC2" w:rsidRDefault="00896186" w:rsidP="00E844A5">
      <w:pPr>
        <w:pStyle w:val="Heading3"/>
      </w:pPr>
      <w:bookmarkStart w:id="62" w:name="_Toc296021427"/>
      <w:bookmarkStart w:id="63" w:name="_Toc296021514"/>
      <w:bookmarkStart w:id="64" w:name="_Toc296235406"/>
      <w:bookmarkStart w:id="65" w:name="_Toc296235507"/>
      <w:bookmarkStart w:id="66" w:name="_Toc296247791"/>
      <w:bookmarkStart w:id="67" w:name="_Toc166149224"/>
      <w:r w:rsidRPr="00290DC2">
        <w:t>Objectives of Training and Training Philosophy</w:t>
      </w:r>
      <w:bookmarkEnd w:id="62"/>
      <w:bookmarkEnd w:id="63"/>
      <w:bookmarkEnd w:id="64"/>
      <w:bookmarkEnd w:id="65"/>
      <w:bookmarkEnd w:id="66"/>
      <w:bookmarkEnd w:id="67"/>
    </w:p>
    <w:p w14:paraId="0D689436" w14:textId="77777777" w:rsidR="00914D43" w:rsidRDefault="00896186">
      <w:pPr>
        <w:keepLines/>
        <w:spacing w:before="60" w:after="80" w:line="280" w:lineRule="exact"/>
        <w:rPr>
          <w:szCs w:val="24"/>
        </w:rPr>
      </w:pPr>
      <w:r w:rsidRPr="00290DC2">
        <w:rPr>
          <w:szCs w:val="24"/>
        </w:rPr>
        <w:t xml:space="preserve">The quality of the State's financial statements depends on the quality of the data that agencies submit on </w:t>
      </w:r>
      <w:r w:rsidR="003A6BBD" w:rsidRPr="00290DC2">
        <w:rPr>
          <w:szCs w:val="24"/>
        </w:rPr>
        <w:t xml:space="preserve">reporting </w:t>
      </w:r>
      <w:r w:rsidRPr="00290DC2">
        <w:rPr>
          <w:szCs w:val="24"/>
        </w:rPr>
        <w:t xml:space="preserve">package forms.  A key component of the Comptroller General's GAAP effort, therefore, is training for agency staff.  </w:t>
      </w:r>
    </w:p>
    <w:p w14:paraId="000A9C22" w14:textId="7DDA50B7" w:rsidR="00914D43" w:rsidRDefault="00896186">
      <w:pPr>
        <w:keepLines/>
        <w:spacing w:before="80" w:after="80" w:line="280" w:lineRule="exact"/>
        <w:rPr>
          <w:szCs w:val="24"/>
        </w:rPr>
      </w:pPr>
      <w:r w:rsidRPr="00290DC2">
        <w:rPr>
          <w:szCs w:val="24"/>
        </w:rPr>
        <w:t>Group training seminars in a formal classroom setting</w:t>
      </w:r>
      <w:r w:rsidR="00CF008D" w:rsidRPr="00290DC2">
        <w:rPr>
          <w:szCs w:val="24"/>
        </w:rPr>
        <w:t xml:space="preserve"> </w:t>
      </w:r>
      <w:r w:rsidRPr="00290DC2">
        <w:rPr>
          <w:szCs w:val="24"/>
        </w:rPr>
        <w:t xml:space="preserve">are well-suited to providing participants with general accounting education and staff development opportunities.  The objective of </w:t>
      </w:r>
      <w:r w:rsidR="004F54E4" w:rsidRPr="00290DC2">
        <w:rPr>
          <w:szCs w:val="24"/>
        </w:rPr>
        <w:t>reporting</w:t>
      </w:r>
      <w:r w:rsidRPr="00290DC2">
        <w:rPr>
          <w:szCs w:val="24"/>
        </w:rPr>
        <w:t xml:space="preserve"> package training</w:t>
      </w:r>
      <w:r w:rsidR="00A61CF7">
        <w:rPr>
          <w:szCs w:val="24"/>
        </w:rPr>
        <w:t>, however, is much more limited;</w:t>
      </w:r>
      <w:r w:rsidRPr="00290DC2">
        <w:rPr>
          <w:szCs w:val="24"/>
        </w:rPr>
        <w:t xml:space="preserve"> to ensure that </w:t>
      </w:r>
      <w:r w:rsidR="004F54E4" w:rsidRPr="00290DC2">
        <w:rPr>
          <w:szCs w:val="24"/>
        </w:rPr>
        <w:t>reporting</w:t>
      </w:r>
      <w:r w:rsidRPr="00290DC2">
        <w:rPr>
          <w:szCs w:val="24"/>
        </w:rPr>
        <w:t xml:space="preserve"> packages are complete, accurate, and timely.  Accordingly, the Comptroller General's Office has developed training to meet this narrow objective.</w:t>
      </w:r>
    </w:p>
    <w:p w14:paraId="321486E4" w14:textId="77777777" w:rsidR="0012040B" w:rsidRDefault="00896186">
      <w:pPr>
        <w:spacing w:before="80" w:line="280" w:lineRule="exact"/>
        <w:rPr>
          <w:szCs w:val="24"/>
        </w:rPr>
      </w:pPr>
      <w:r w:rsidRPr="00290DC2">
        <w:rPr>
          <w:szCs w:val="24"/>
        </w:rPr>
        <w:t xml:space="preserve">The training that the Comptroller General’s Office provides focuses on providing the necessary practical skills and knowledge </w:t>
      </w:r>
      <w:r w:rsidR="000F7564">
        <w:rPr>
          <w:szCs w:val="24"/>
        </w:rPr>
        <w:t xml:space="preserve">required </w:t>
      </w:r>
      <w:r w:rsidRPr="00290DC2">
        <w:rPr>
          <w:szCs w:val="24"/>
        </w:rPr>
        <w:t xml:space="preserve">to properly complete </w:t>
      </w:r>
      <w:r w:rsidR="004F54E4" w:rsidRPr="00290DC2">
        <w:rPr>
          <w:szCs w:val="24"/>
        </w:rPr>
        <w:t>reporting</w:t>
      </w:r>
      <w:r w:rsidRPr="00290DC2">
        <w:rPr>
          <w:szCs w:val="24"/>
        </w:rPr>
        <w:t xml:space="preserve"> packages.  It presents a bare minimum of accounting theory.  The primary focus is on-the-job training tailored to meet each agency's special needs.  The objective of such training is to ensure that all </w:t>
      </w:r>
      <w:r w:rsidR="004F54E4" w:rsidRPr="00290DC2">
        <w:rPr>
          <w:szCs w:val="24"/>
        </w:rPr>
        <w:t>reporting</w:t>
      </w:r>
      <w:r w:rsidRPr="00290DC2">
        <w:rPr>
          <w:szCs w:val="24"/>
        </w:rPr>
        <w:t xml:space="preserve"> packages are complete, accurate, and timely.</w:t>
      </w:r>
    </w:p>
    <w:p w14:paraId="588797B1" w14:textId="4F3ACE01" w:rsidR="0012040B" w:rsidRDefault="00896186">
      <w:pPr>
        <w:pStyle w:val="Heading3"/>
      </w:pPr>
      <w:bookmarkStart w:id="68" w:name="_Toc296021428"/>
      <w:bookmarkStart w:id="69" w:name="_Toc296021515"/>
      <w:bookmarkStart w:id="70" w:name="_Toc296235407"/>
      <w:bookmarkStart w:id="71" w:name="_Toc296235508"/>
      <w:bookmarkStart w:id="72" w:name="_Toc296247792"/>
      <w:bookmarkStart w:id="73" w:name="_Toc166149225"/>
      <w:r w:rsidRPr="00290DC2">
        <w:t xml:space="preserve">The Comptroller General’s Office </w:t>
      </w:r>
      <w:r w:rsidR="004F54E4" w:rsidRPr="00290DC2">
        <w:t>Reporting</w:t>
      </w:r>
      <w:r w:rsidRPr="00290DC2">
        <w:t xml:space="preserve"> Package Training</w:t>
      </w:r>
      <w:bookmarkEnd w:id="68"/>
      <w:bookmarkEnd w:id="69"/>
      <w:bookmarkEnd w:id="70"/>
      <w:bookmarkEnd w:id="71"/>
      <w:bookmarkEnd w:id="72"/>
      <w:bookmarkEnd w:id="73"/>
    </w:p>
    <w:p w14:paraId="64D357FC" w14:textId="1DFDECAF" w:rsidR="0012040B" w:rsidRDefault="00896186">
      <w:pPr>
        <w:keepNext/>
        <w:spacing w:line="280" w:lineRule="exact"/>
        <w:rPr>
          <w:szCs w:val="24"/>
        </w:rPr>
      </w:pPr>
      <w:r w:rsidRPr="00290DC2">
        <w:rPr>
          <w:szCs w:val="24"/>
        </w:rPr>
        <w:t xml:space="preserve">The Comptroller General's Office's </w:t>
      </w:r>
      <w:r w:rsidR="004F54E4" w:rsidRPr="00290DC2">
        <w:rPr>
          <w:szCs w:val="24"/>
        </w:rPr>
        <w:t>reporting</w:t>
      </w:r>
      <w:r w:rsidRPr="00290DC2">
        <w:rPr>
          <w:szCs w:val="24"/>
        </w:rPr>
        <w:t xml:space="preserve"> package training includes the following components:</w:t>
      </w:r>
    </w:p>
    <w:p w14:paraId="1AE353F6" w14:textId="2573EEC5" w:rsidR="0012040B" w:rsidRDefault="00896186" w:rsidP="00A977AC">
      <w:pPr>
        <w:pStyle w:val="Bullet0"/>
      </w:pPr>
      <w:r w:rsidRPr="00A01BAE">
        <w:rPr>
          <w:u w:val="single"/>
        </w:rPr>
        <w:t xml:space="preserve">Written </w:t>
      </w:r>
      <w:r w:rsidR="00A61CF7" w:rsidRPr="00A01BAE">
        <w:rPr>
          <w:u w:val="single"/>
        </w:rPr>
        <w:t>Policies and Procedures</w:t>
      </w:r>
      <w:r w:rsidRPr="00A01BAE">
        <w:rPr>
          <w:u w:val="single"/>
        </w:rPr>
        <w:t>:</w:t>
      </w:r>
      <w:r w:rsidRPr="00290DC2">
        <w:t xml:space="preserve"> The Comptroller General's Office publishes this manual, which includes </w:t>
      </w:r>
      <w:r w:rsidR="00A61CF7">
        <w:t xml:space="preserve">the reporting policies and procedures for the State and the GAAP on which it is founded.  </w:t>
      </w:r>
    </w:p>
    <w:p w14:paraId="1E18D00C" w14:textId="0E877FBC" w:rsidR="0012040B" w:rsidRDefault="00896186" w:rsidP="00A977AC">
      <w:pPr>
        <w:pStyle w:val="Bullet0"/>
      </w:pPr>
      <w:r w:rsidRPr="00A01BAE">
        <w:rPr>
          <w:u w:val="single"/>
        </w:rPr>
        <w:t>Annual Updates:</w:t>
      </w:r>
      <w:r w:rsidRPr="00290DC2">
        <w:t xml:space="preserve">  The Comptroller General's Office staff updates this manual annually to clarify or emphasize areas that have proved especially confusing or difficult to understand and to explain new requirements of GAAP.  </w:t>
      </w:r>
    </w:p>
    <w:p w14:paraId="7C5161A3" w14:textId="6CD019FE" w:rsidR="00F2163C" w:rsidRPr="00290DC2" w:rsidRDefault="00896186" w:rsidP="00F2163C">
      <w:pPr>
        <w:pStyle w:val="Bullet0"/>
      </w:pPr>
      <w:r w:rsidRPr="00A01BAE">
        <w:rPr>
          <w:u w:val="single"/>
        </w:rPr>
        <w:t>Individually Tailored Help and Training</w:t>
      </w:r>
      <w:r w:rsidRPr="00290DC2">
        <w:t xml:space="preserve">:  Help with matters relating to GAAP or completion of </w:t>
      </w:r>
      <w:r w:rsidR="004F54E4" w:rsidRPr="00290DC2">
        <w:t>reporting</w:t>
      </w:r>
      <w:r w:rsidRPr="00290DC2">
        <w:t xml:space="preserve"> packages is only a telephone call </w:t>
      </w:r>
      <w:r w:rsidR="00F2163C">
        <w:t xml:space="preserve">or email </w:t>
      </w:r>
      <w:r w:rsidRPr="00290DC2">
        <w:t>away</w:t>
      </w:r>
      <w:r w:rsidR="00886112">
        <w:t>.</w:t>
      </w:r>
      <w:r w:rsidRPr="00290DC2">
        <w:t xml:space="preserve">  If questions</w:t>
      </w:r>
      <w:r w:rsidR="00B5045C">
        <w:t xml:space="preserve"> arise</w:t>
      </w:r>
      <w:r w:rsidR="00F2163C">
        <w:t>, please</w:t>
      </w:r>
      <w:r w:rsidR="00F2163C" w:rsidRPr="00290DC2">
        <w:t xml:space="preserve"> consult </w:t>
      </w:r>
      <w:r w:rsidR="00F2163C" w:rsidRPr="009B6E2E">
        <w:t>Appendix E to</w:t>
      </w:r>
      <w:r w:rsidR="00F2163C" w:rsidRPr="00290DC2">
        <w:t xml:space="preserve"> determine the appropriate staff person to </w:t>
      </w:r>
      <w:r w:rsidR="00F2163C">
        <w:t xml:space="preserve">contact or you may </w:t>
      </w:r>
      <w:r w:rsidR="00BC5447">
        <w:t xml:space="preserve">also </w:t>
      </w:r>
      <w:r w:rsidR="00F2163C">
        <w:t>send a</w:t>
      </w:r>
      <w:r w:rsidR="00BC5447">
        <w:t xml:space="preserve"> general </w:t>
      </w:r>
      <w:r w:rsidR="00F2163C">
        <w:t xml:space="preserve">email to </w:t>
      </w:r>
      <w:hyperlink r:id="rId12" w:history="1">
        <w:r w:rsidR="00F2163C" w:rsidRPr="008F5469">
          <w:rPr>
            <w:rStyle w:val="Hyperlink"/>
          </w:rPr>
          <w:t>ACFR@cg.sc.gov</w:t>
        </w:r>
      </w:hyperlink>
      <w:r w:rsidR="00BC5447">
        <w:t xml:space="preserve">. </w:t>
      </w:r>
    </w:p>
    <w:p w14:paraId="41FF3738" w14:textId="056180F1" w:rsidR="00F2163C" w:rsidRDefault="00BC5447" w:rsidP="00A977AC">
      <w:pPr>
        <w:pStyle w:val="Bullet0"/>
      </w:pPr>
      <w:r>
        <w:t xml:space="preserve">Training Webinars and Videos: The Comptroller General’s Office may hold virtual training webinars via Teams. The trainings are recorded and uploaded to the CGO website for future reference and for any agency personnel that are unable to attend the training live. </w:t>
      </w:r>
    </w:p>
    <w:p w14:paraId="50771512" w14:textId="77777777" w:rsidR="00F2163C" w:rsidRPr="00290DC2" w:rsidRDefault="00F2163C" w:rsidP="00BC5447">
      <w:pPr>
        <w:pStyle w:val="Bullet2"/>
        <w:spacing w:before="60" w:line="280" w:lineRule="exact"/>
        <w:rPr>
          <w:szCs w:val="24"/>
        </w:rPr>
      </w:pPr>
    </w:p>
    <w:p w14:paraId="071732C2" w14:textId="77777777" w:rsidR="0012040B" w:rsidRDefault="00896186" w:rsidP="00A977AC">
      <w:pPr>
        <w:pStyle w:val="Bullet0"/>
      </w:pPr>
      <w:r w:rsidRPr="00A01BAE">
        <w:rPr>
          <w:u w:val="single"/>
        </w:rPr>
        <w:lastRenderedPageBreak/>
        <w:t>Pre-audit Review</w:t>
      </w:r>
      <w:r w:rsidR="00B5045C" w:rsidRPr="00A01BAE">
        <w:rPr>
          <w:u w:val="single"/>
        </w:rPr>
        <w:t xml:space="preserve"> and </w:t>
      </w:r>
      <w:r w:rsidRPr="00A01BAE">
        <w:rPr>
          <w:u w:val="single"/>
        </w:rPr>
        <w:t xml:space="preserve">Follow-Up of Agency-Submitted </w:t>
      </w:r>
      <w:r w:rsidR="004F54E4" w:rsidRPr="00A01BAE">
        <w:rPr>
          <w:u w:val="single"/>
        </w:rPr>
        <w:t>Reporting</w:t>
      </w:r>
      <w:r w:rsidRPr="00A01BAE">
        <w:rPr>
          <w:u w:val="single"/>
        </w:rPr>
        <w:t xml:space="preserve"> Packages:</w:t>
      </w:r>
      <w:r w:rsidRPr="00290DC2">
        <w:t xml:space="preserve">  It is </w:t>
      </w:r>
      <w:r w:rsidR="00B5045C">
        <w:t xml:space="preserve">the </w:t>
      </w:r>
      <w:r w:rsidRPr="00290DC2">
        <w:t xml:space="preserve">agency's responsibility to submit error-free </w:t>
      </w:r>
      <w:r w:rsidR="004F54E4" w:rsidRPr="00290DC2">
        <w:t>reporting</w:t>
      </w:r>
      <w:r w:rsidRPr="00290DC2">
        <w:t xml:space="preserve"> packages (see Section</w:t>
      </w:r>
      <w:r w:rsidR="004F54E4" w:rsidRPr="00290DC2">
        <w:t xml:space="preserve"> </w:t>
      </w:r>
      <w:r w:rsidRPr="00290DC2">
        <w:t xml:space="preserve">1.7, </w:t>
      </w:r>
      <w:r w:rsidRPr="009B555D">
        <w:rPr>
          <w:iCs/>
        </w:rPr>
        <w:t>Summary of Agency Responsibilities</w:t>
      </w:r>
      <w:r w:rsidRPr="00290DC2">
        <w:t xml:space="preserve">).  The Comptroller General's Office staff, however, performs a limited review of </w:t>
      </w:r>
      <w:r w:rsidR="004F54E4" w:rsidRPr="00290DC2">
        <w:t>reporting</w:t>
      </w:r>
      <w:r w:rsidRPr="00290DC2">
        <w:t xml:space="preserve"> packages to identify potential errors.  </w:t>
      </w:r>
      <w:r w:rsidR="000F7564">
        <w:t>T</w:t>
      </w:r>
      <w:r w:rsidRPr="00290DC2">
        <w:t>he Comptroller General's Office staff will perform</w:t>
      </w:r>
      <w:r w:rsidR="00886112">
        <w:t xml:space="preserve"> a</w:t>
      </w:r>
      <w:r w:rsidRPr="00290DC2">
        <w:t xml:space="preserve"> review and discuss potential problems with </w:t>
      </w:r>
      <w:r w:rsidR="00B5045C">
        <w:t xml:space="preserve">the agency </w:t>
      </w:r>
      <w:r w:rsidRPr="00290DC2">
        <w:rPr>
          <w:i/>
        </w:rPr>
        <w:t>before</w:t>
      </w:r>
      <w:r w:rsidRPr="00290DC2">
        <w:t xml:space="preserve"> turning </w:t>
      </w:r>
      <w:r w:rsidR="00B5045C">
        <w:t>the reporting</w:t>
      </w:r>
      <w:r w:rsidRPr="00290DC2">
        <w:t xml:space="preserve"> package over to the statewide auditors.  This provides </w:t>
      </w:r>
      <w:r w:rsidR="00B5045C">
        <w:t xml:space="preserve">agency personnel </w:t>
      </w:r>
      <w:r w:rsidRPr="00290DC2">
        <w:t xml:space="preserve">an additional learning opportunity as well as a second chance to correct errors before the audit phase begins.  </w:t>
      </w:r>
      <w:r w:rsidR="004F54E4" w:rsidRPr="00290DC2">
        <w:t>Reporting</w:t>
      </w:r>
      <w:r w:rsidRPr="00290DC2">
        <w:t xml:space="preserve"> packages that arrive after the established due dates, however, must be provided to the auditors immediately upon receipt by the Comptroller General's Office</w:t>
      </w:r>
      <w:r w:rsidR="000F7564">
        <w:t xml:space="preserve"> and will receive a very limited review.  Agencies are encouraged to submit information timely</w:t>
      </w:r>
      <w:r w:rsidRPr="00290DC2">
        <w:t>.</w:t>
      </w:r>
    </w:p>
    <w:p w14:paraId="2002EE3B" w14:textId="77777777" w:rsidR="0012040B" w:rsidRDefault="00896186" w:rsidP="00A977AC">
      <w:pPr>
        <w:pStyle w:val="Bullet0"/>
      </w:pPr>
      <w:r w:rsidRPr="00A01BAE">
        <w:rPr>
          <w:u w:val="single"/>
        </w:rPr>
        <w:t xml:space="preserve">Personal Follow-Up on Audit Findings Related to </w:t>
      </w:r>
      <w:r w:rsidR="00BD0CF9" w:rsidRPr="00A01BAE">
        <w:rPr>
          <w:u w:val="single"/>
        </w:rPr>
        <w:t>Reporting</w:t>
      </w:r>
      <w:r w:rsidRPr="00A01BAE">
        <w:rPr>
          <w:u w:val="single"/>
        </w:rPr>
        <w:t xml:space="preserve"> Packages:</w:t>
      </w:r>
      <w:r w:rsidRPr="00290DC2">
        <w:t xml:space="preserve">  If </w:t>
      </w:r>
      <w:r w:rsidR="00B5045C">
        <w:t>the</w:t>
      </w:r>
      <w:r w:rsidRPr="00290DC2">
        <w:t xml:space="preserve"> agency</w:t>
      </w:r>
      <w:r w:rsidR="00B5045C">
        <w:t>’s</w:t>
      </w:r>
      <w:r w:rsidRPr="00290DC2">
        <w:t xml:space="preserve"> auditors or the statewide auditors find errors in one or more of </w:t>
      </w:r>
      <w:r w:rsidR="00B5045C">
        <w:t>the</w:t>
      </w:r>
      <w:r w:rsidRPr="00290DC2">
        <w:t xml:space="preserve"> </w:t>
      </w:r>
      <w:r w:rsidR="00BD0CF9" w:rsidRPr="00290DC2">
        <w:t>reporting</w:t>
      </w:r>
      <w:r w:rsidRPr="00290DC2">
        <w:t xml:space="preserve"> packages, you will probably receive one or more follow-up calls from the Comptroller General's Office staff.  The objective of these follow-up contacts is to help ensur</w:t>
      </w:r>
      <w:r w:rsidR="00B5045C">
        <w:t>e that agencies learn from the</w:t>
      </w:r>
      <w:r w:rsidRPr="00290DC2">
        <w:t xml:space="preserve"> errors and do not repeat them.</w:t>
      </w:r>
    </w:p>
    <w:p w14:paraId="060293F8" w14:textId="77777777" w:rsidR="00896186" w:rsidRPr="00290DC2" w:rsidRDefault="00896186" w:rsidP="00A01BAE">
      <w:pPr>
        <w:keepNext/>
        <w:spacing w:before="240" w:line="280" w:lineRule="exact"/>
        <w:rPr>
          <w:szCs w:val="24"/>
        </w:rPr>
      </w:pPr>
      <w:r w:rsidRPr="00290DC2">
        <w:rPr>
          <w:szCs w:val="24"/>
        </w:rPr>
        <w:t>In addition, the Comptroller General's Office strongly encourages agency accountants to take advantage of formal classroom training courses that various accounting organizations offer regarding governmental GAAP.  The following local organizations periodically provide excellent, low-cost governmental GAAP accounting training courses:</w:t>
      </w:r>
    </w:p>
    <w:tbl>
      <w:tblPr>
        <w:tblStyle w:val="TableGrid"/>
        <w:tblW w:w="0" w:type="auto"/>
        <w:tblInd w:w="1098" w:type="dxa"/>
        <w:tblBorders>
          <w:insideV w:val="none" w:sz="0" w:space="0" w:color="auto"/>
        </w:tblBorders>
        <w:tblLook w:val="04A0" w:firstRow="1" w:lastRow="0" w:firstColumn="1" w:lastColumn="0" w:noHBand="0" w:noVBand="1"/>
      </w:tblPr>
      <w:tblGrid>
        <w:gridCol w:w="5310"/>
        <w:gridCol w:w="3437"/>
      </w:tblGrid>
      <w:tr w:rsidR="00B5045C" w:rsidRPr="00B53335" w14:paraId="6FC2FFE1" w14:textId="77777777" w:rsidTr="006814CD">
        <w:trPr>
          <w:cantSplit/>
        </w:trPr>
        <w:tc>
          <w:tcPr>
            <w:tcW w:w="5310" w:type="dxa"/>
          </w:tcPr>
          <w:p w14:paraId="32F3470C" w14:textId="656E72DE" w:rsidR="00B5045C" w:rsidRPr="00B5045C" w:rsidRDefault="00B5045C" w:rsidP="00BC5447">
            <w:pPr>
              <w:pStyle w:val="Bullet10"/>
              <w:spacing w:before="20" w:after="20"/>
              <w:ind w:left="522" w:hanging="234"/>
              <w:jc w:val="left"/>
              <w:rPr>
                <w:szCs w:val="24"/>
              </w:rPr>
            </w:pPr>
            <w:r w:rsidRPr="00B5045C">
              <w:rPr>
                <w:szCs w:val="24"/>
              </w:rPr>
              <w:t xml:space="preserve">Government Finance Officers </w:t>
            </w:r>
            <w:r w:rsidRPr="00B5045C">
              <w:rPr>
                <w:szCs w:val="24"/>
              </w:rPr>
              <w:br/>
              <w:t>Association of South Carolina</w:t>
            </w:r>
          </w:p>
        </w:tc>
        <w:tc>
          <w:tcPr>
            <w:tcW w:w="3437" w:type="dxa"/>
          </w:tcPr>
          <w:p w14:paraId="39F97386" w14:textId="77777777" w:rsidR="007810A8" w:rsidRDefault="007810A8" w:rsidP="007810A8">
            <w:pPr>
              <w:pStyle w:val="Bullet10"/>
              <w:spacing w:before="20" w:after="20"/>
              <w:ind w:left="1008" w:hanging="720"/>
              <w:jc w:val="left"/>
              <w:rPr>
                <w:szCs w:val="24"/>
              </w:rPr>
            </w:pPr>
          </w:p>
          <w:p w14:paraId="51D4E787" w14:textId="77777777" w:rsidR="00B5045C" w:rsidRPr="00546036" w:rsidRDefault="007810A8" w:rsidP="007810A8">
            <w:pPr>
              <w:pStyle w:val="Bullet10"/>
              <w:spacing w:before="20" w:after="20"/>
              <w:ind w:left="1008" w:hanging="720"/>
              <w:jc w:val="left"/>
              <w:rPr>
                <w:lang w:val="fr-FR"/>
              </w:rPr>
            </w:pPr>
            <w:r w:rsidRPr="00546036">
              <w:rPr>
                <w:szCs w:val="24"/>
                <w:lang w:val="fr-FR"/>
              </w:rPr>
              <w:t>http://www.gfoasc.org/</w:t>
            </w:r>
          </w:p>
        </w:tc>
      </w:tr>
      <w:tr w:rsidR="00B5045C" w:rsidRPr="00B5045C" w14:paraId="65B26EC1" w14:textId="77777777" w:rsidTr="006814CD">
        <w:tc>
          <w:tcPr>
            <w:tcW w:w="5310" w:type="dxa"/>
          </w:tcPr>
          <w:p w14:paraId="5D0171A3" w14:textId="77777777" w:rsidR="00B5045C" w:rsidRPr="00B5045C" w:rsidRDefault="00B5045C" w:rsidP="007810A8">
            <w:pPr>
              <w:pStyle w:val="Bullet10"/>
              <w:keepLines/>
              <w:spacing w:before="20" w:after="20"/>
              <w:ind w:left="522" w:hanging="234"/>
              <w:jc w:val="left"/>
              <w:rPr>
                <w:szCs w:val="24"/>
              </w:rPr>
            </w:pPr>
            <w:r w:rsidRPr="00B5045C">
              <w:rPr>
                <w:szCs w:val="24"/>
              </w:rPr>
              <w:t>Institute of Internal Auditors,</w:t>
            </w:r>
            <w:r w:rsidR="007810A8">
              <w:rPr>
                <w:szCs w:val="24"/>
              </w:rPr>
              <w:t xml:space="preserve"> </w:t>
            </w:r>
            <w:r w:rsidRPr="00B5045C">
              <w:rPr>
                <w:szCs w:val="24"/>
              </w:rPr>
              <w:t>Palmetto Chapter</w:t>
            </w:r>
          </w:p>
        </w:tc>
        <w:tc>
          <w:tcPr>
            <w:tcW w:w="3437" w:type="dxa"/>
          </w:tcPr>
          <w:p w14:paraId="1B71540E" w14:textId="77777777" w:rsidR="00B5045C" w:rsidRPr="00B5045C" w:rsidRDefault="007810A8" w:rsidP="007810A8">
            <w:pPr>
              <w:pStyle w:val="Bullet10"/>
              <w:keepLines/>
              <w:spacing w:before="20" w:after="20"/>
              <w:ind w:left="1008" w:hanging="720"/>
              <w:jc w:val="left"/>
              <w:rPr>
                <w:szCs w:val="24"/>
              </w:rPr>
            </w:pPr>
            <w:r w:rsidRPr="00B5045C">
              <w:rPr>
                <w:szCs w:val="24"/>
              </w:rPr>
              <w:t>http://www.theiia.org/chapters</w:t>
            </w:r>
          </w:p>
        </w:tc>
      </w:tr>
      <w:tr w:rsidR="00B5045C" w:rsidRPr="00B5045C" w14:paraId="41759DC3" w14:textId="77777777" w:rsidTr="006814CD">
        <w:tc>
          <w:tcPr>
            <w:tcW w:w="5310" w:type="dxa"/>
          </w:tcPr>
          <w:p w14:paraId="796B9020" w14:textId="6C922D12" w:rsidR="00B5045C" w:rsidRPr="00B5045C" w:rsidRDefault="00B5045C" w:rsidP="006814CD">
            <w:pPr>
              <w:pStyle w:val="Bullet10"/>
              <w:keepLines/>
              <w:spacing w:before="20" w:after="20"/>
              <w:ind w:left="522" w:hanging="234"/>
              <w:jc w:val="left"/>
              <w:rPr>
                <w:szCs w:val="24"/>
              </w:rPr>
            </w:pPr>
            <w:r w:rsidRPr="00B5045C">
              <w:rPr>
                <w:szCs w:val="24"/>
              </w:rPr>
              <w:t xml:space="preserve">South Carolina State Internal </w:t>
            </w:r>
            <w:r w:rsidR="007810A8">
              <w:rPr>
                <w:szCs w:val="24"/>
              </w:rPr>
              <w:t>Auditors Association</w:t>
            </w:r>
          </w:p>
        </w:tc>
        <w:tc>
          <w:tcPr>
            <w:tcW w:w="3437" w:type="dxa"/>
          </w:tcPr>
          <w:p w14:paraId="45EE27EC" w14:textId="77777777" w:rsidR="00B5045C" w:rsidRDefault="00B5045C" w:rsidP="007810A8">
            <w:pPr>
              <w:pStyle w:val="Bullet10"/>
              <w:keepLines/>
              <w:spacing w:before="20" w:after="20"/>
              <w:ind w:left="1008" w:hanging="720"/>
              <w:jc w:val="left"/>
              <w:rPr>
                <w:szCs w:val="24"/>
              </w:rPr>
            </w:pPr>
          </w:p>
          <w:p w14:paraId="2E850DF8" w14:textId="74E971FB" w:rsidR="006814CD" w:rsidRPr="00B5045C" w:rsidRDefault="006814CD" w:rsidP="007810A8">
            <w:pPr>
              <w:pStyle w:val="Bullet10"/>
              <w:keepLines/>
              <w:spacing w:before="20" w:after="20"/>
              <w:ind w:left="1008" w:hanging="720"/>
              <w:jc w:val="left"/>
              <w:rPr>
                <w:szCs w:val="24"/>
              </w:rPr>
            </w:pPr>
            <w:r w:rsidRPr="006814CD">
              <w:rPr>
                <w:szCs w:val="24"/>
              </w:rPr>
              <w:t>https://www.scsiaa.net/home</w:t>
            </w:r>
          </w:p>
        </w:tc>
      </w:tr>
      <w:tr w:rsidR="00B5045C" w:rsidRPr="00B5045C" w14:paraId="79A1D2D5" w14:textId="77777777" w:rsidTr="006814CD">
        <w:tc>
          <w:tcPr>
            <w:tcW w:w="5310" w:type="dxa"/>
          </w:tcPr>
          <w:p w14:paraId="2A0F4FEB" w14:textId="619A2B9F" w:rsidR="00B5045C" w:rsidRPr="00B5045C" w:rsidRDefault="007810A8" w:rsidP="006814CD">
            <w:pPr>
              <w:pStyle w:val="Bullet10"/>
              <w:keepLines/>
              <w:spacing w:before="20" w:after="20"/>
              <w:ind w:left="522" w:hanging="234"/>
              <w:jc w:val="left"/>
              <w:rPr>
                <w:szCs w:val="24"/>
              </w:rPr>
            </w:pPr>
            <w:r>
              <w:rPr>
                <w:szCs w:val="24"/>
              </w:rPr>
              <w:t xml:space="preserve">South Carolina Association of </w:t>
            </w:r>
            <w:r w:rsidR="00B5045C" w:rsidRPr="00B5045C">
              <w:rPr>
                <w:szCs w:val="24"/>
              </w:rPr>
              <w:t>Certified Public Accountants</w:t>
            </w:r>
          </w:p>
        </w:tc>
        <w:tc>
          <w:tcPr>
            <w:tcW w:w="3437" w:type="dxa"/>
          </w:tcPr>
          <w:p w14:paraId="2879BD52" w14:textId="77777777" w:rsidR="007810A8" w:rsidRDefault="007810A8" w:rsidP="007810A8">
            <w:pPr>
              <w:pStyle w:val="Bullet10"/>
              <w:keepLines/>
              <w:spacing w:before="20" w:after="20"/>
              <w:ind w:left="1008" w:hanging="720"/>
              <w:jc w:val="left"/>
              <w:rPr>
                <w:szCs w:val="24"/>
              </w:rPr>
            </w:pPr>
          </w:p>
          <w:p w14:paraId="52ED6E00" w14:textId="15BC7DC0" w:rsidR="00B5045C" w:rsidRPr="00B5045C" w:rsidRDefault="006814CD" w:rsidP="007810A8">
            <w:pPr>
              <w:pStyle w:val="Bullet10"/>
              <w:keepLines/>
              <w:spacing w:before="20" w:after="20"/>
              <w:ind w:left="1008" w:hanging="720"/>
              <w:jc w:val="left"/>
              <w:rPr>
                <w:szCs w:val="24"/>
              </w:rPr>
            </w:pPr>
            <w:r w:rsidRPr="006814CD">
              <w:t>https://sc.cpa/</w:t>
            </w:r>
          </w:p>
        </w:tc>
      </w:tr>
    </w:tbl>
    <w:p w14:paraId="5022379B" w14:textId="77777777" w:rsidR="00896186" w:rsidRDefault="00896186">
      <w:pPr>
        <w:spacing w:before="240" w:line="280" w:lineRule="exact"/>
        <w:rPr>
          <w:szCs w:val="24"/>
        </w:rPr>
      </w:pPr>
      <w:r w:rsidRPr="00290DC2">
        <w:rPr>
          <w:szCs w:val="24"/>
        </w:rPr>
        <w:t>Many of the State's universities, colleges, and technical colleges also offer excellent accounting courses, including governmental accounting courses.</w:t>
      </w:r>
    </w:p>
    <w:p w14:paraId="21600ED5" w14:textId="77777777" w:rsidR="006814CD" w:rsidRDefault="006814CD">
      <w:pPr>
        <w:spacing w:before="240" w:line="280" w:lineRule="exact"/>
        <w:rPr>
          <w:szCs w:val="24"/>
        </w:rPr>
      </w:pPr>
    </w:p>
    <w:p w14:paraId="2F830E96" w14:textId="77777777" w:rsidR="006814CD" w:rsidRDefault="006814CD">
      <w:pPr>
        <w:spacing w:before="240" w:line="280" w:lineRule="exact"/>
        <w:rPr>
          <w:szCs w:val="24"/>
        </w:rPr>
      </w:pPr>
    </w:p>
    <w:p w14:paraId="6C6928F7" w14:textId="77777777" w:rsidR="006814CD" w:rsidRDefault="006814CD">
      <w:pPr>
        <w:spacing w:before="240" w:line="280" w:lineRule="exact"/>
        <w:rPr>
          <w:szCs w:val="24"/>
        </w:rPr>
      </w:pPr>
    </w:p>
    <w:p w14:paraId="40BBD8F8" w14:textId="77777777" w:rsidR="006814CD" w:rsidRPr="00290DC2" w:rsidRDefault="006814CD">
      <w:pPr>
        <w:spacing w:before="240" w:line="280" w:lineRule="exact"/>
        <w:rPr>
          <w:szCs w:val="24"/>
        </w:rPr>
      </w:pPr>
    </w:p>
    <w:p w14:paraId="4BBC0375" w14:textId="77777777" w:rsidR="0012040B" w:rsidRDefault="00290DC2" w:rsidP="003B02BA">
      <w:pPr>
        <w:pStyle w:val="Heading2"/>
      </w:pPr>
      <w:bookmarkStart w:id="74" w:name="_Toc296021429"/>
      <w:bookmarkStart w:id="75" w:name="_Toc296021516"/>
      <w:bookmarkStart w:id="76" w:name="_Toc296235408"/>
      <w:bookmarkStart w:id="77" w:name="_Toc296235509"/>
      <w:bookmarkStart w:id="78" w:name="_Toc296247793"/>
      <w:bookmarkStart w:id="79" w:name="_Toc166149226"/>
      <w:r>
        <w:lastRenderedPageBreak/>
        <w:t xml:space="preserve">Section </w:t>
      </w:r>
      <w:r w:rsidR="009B555D">
        <w:t>1</w:t>
      </w:r>
      <w:r w:rsidR="00896186" w:rsidRPr="00290DC2">
        <w:t xml:space="preserve">.5 </w:t>
      </w:r>
      <w:r w:rsidR="00BD0CF9" w:rsidRPr="00290DC2">
        <w:t>REPORTING</w:t>
      </w:r>
      <w:r w:rsidR="00896186" w:rsidRPr="00290DC2">
        <w:t xml:space="preserve"> PACKAGE DUE DATES</w:t>
      </w:r>
      <w:bookmarkEnd w:id="74"/>
      <w:bookmarkEnd w:id="75"/>
      <w:bookmarkEnd w:id="76"/>
      <w:bookmarkEnd w:id="77"/>
      <w:bookmarkEnd w:id="78"/>
      <w:bookmarkEnd w:id="79"/>
    </w:p>
    <w:p w14:paraId="2B26CA0B" w14:textId="0A21DFAA" w:rsidR="006814CD" w:rsidRDefault="00896186">
      <w:pPr>
        <w:spacing w:line="260" w:lineRule="exact"/>
        <w:rPr>
          <w:szCs w:val="24"/>
        </w:rPr>
      </w:pPr>
      <w:r w:rsidRPr="00290DC2">
        <w:rPr>
          <w:szCs w:val="24"/>
        </w:rPr>
        <w:t xml:space="preserve">The due dates for the various </w:t>
      </w:r>
      <w:r w:rsidR="00791DC2" w:rsidRPr="00290DC2">
        <w:rPr>
          <w:szCs w:val="24"/>
        </w:rPr>
        <w:t xml:space="preserve">reporting </w:t>
      </w:r>
      <w:r w:rsidRPr="00290DC2">
        <w:rPr>
          <w:szCs w:val="24"/>
        </w:rPr>
        <w:t xml:space="preserve">packages are shown </w:t>
      </w:r>
      <w:r w:rsidR="00886112">
        <w:rPr>
          <w:szCs w:val="24"/>
        </w:rPr>
        <w:t xml:space="preserve">by due date </w:t>
      </w:r>
      <w:r w:rsidRPr="00290DC2">
        <w:rPr>
          <w:szCs w:val="24"/>
        </w:rPr>
        <w:t>in the table below.  The Comptroller General's Office suggests that agencies complete the packages in the order shown.</w:t>
      </w:r>
    </w:p>
    <w:p w14:paraId="7CD9DD11" w14:textId="77777777" w:rsidR="006814CD" w:rsidRPr="00290DC2" w:rsidRDefault="006814CD">
      <w:pPr>
        <w:spacing w:line="260" w:lineRule="exact"/>
        <w:rPr>
          <w:szCs w:val="24"/>
        </w:rPr>
      </w:pPr>
    </w:p>
    <w:tbl>
      <w:tblPr>
        <w:tblW w:w="9625" w:type="dxa"/>
        <w:tblLook w:val="04A0" w:firstRow="1" w:lastRow="0" w:firstColumn="1" w:lastColumn="0" w:noHBand="0" w:noVBand="1"/>
      </w:tblPr>
      <w:tblGrid>
        <w:gridCol w:w="999"/>
        <w:gridCol w:w="4322"/>
        <w:gridCol w:w="1424"/>
        <w:gridCol w:w="1080"/>
        <w:gridCol w:w="1800"/>
      </w:tblGrid>
      <w:tr w:rsidR="006814CD" w:rsidRPr="006814CD" w14:paraId="21E85639" w14:textId="77777777" w:rsidTr="006814CD">
        <w:trPr>
          <w:trHeight w:val="638"/>
        </w:trPr>
        <w:tc>
          <w:tcPr>
            <w:tcW w:w="9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5E35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 xml:space="preserve">Section of Reporting Manual </w:t>
            </w:r>
            <w:r w:rsidRPr="006814CD">
              <w:rPr>
                <w:rFonts w:ascii="Arial Narrow" w:hAnsi="Arial Narrow" w:cs="Arial"/>
                <w:i/>
                <w:iCs/>
                <w:sz w:val="22"/>
                <w:szCs w:val="22"/>
                <w:vertAlign w:val="superscript"/>
              </w:rPr>
              <w:t>(1)</w:t>
            </w:r>
          </w:p>
        </w:tc>
        <w:tc>
          <w:tcPr>
            <w:tcW w:w="4322" w:type="dxa"/>
            <w:tcBorders>
              <w:top w:val="single" w:sz="4" w:space="0" w:color="auto"/>
              <w:left w:val="nil"/>
              <w:bottom w:val="single" w:sz="4" w:space="0" w:color="auto"/>
              <w:right w:val="single" w:sz="4" w:space="0" w:color="auto"/>
            </w:tcBorders>
            <w:shd w:val="clear" w:color="auto" w:fill="auto"/>
            <w:vAlign w:val="bottom"/>
            <w:hideMark/>
          </w:tcPr>
          <w:p w14:paraId="168FBED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Subject</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23996BCB"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Due Date FY2025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FC8FFDF"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Day</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D0CDF8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Method for Submission</w:t>
            </w:r>
          </w:p>
        </w:tc>
      </w:tr>
      <w:tr w:rsidR="006814CD" w:rsidRPr="006814CD" w14:paraId="496C2A9F"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69409F3F"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1.00</w:t>
            </w:r>
          </w:p>
        </w:tc>
        <w:tc>
          <w:tcPr>
            <w:tcW w:w="4322" w:type="dxa"/>
            <w:tcBorders>
              <w:top w:val="nil"/>
              <w:left w:val="nil"/>
              <w:bottom w:val="single" w:sz="4" w:space="0" w:color="auto"/>
              <w:right w:val="single" w:sz="4" w:space="0" w:color="auto"/>
            </w:tcBorders>
            <w:shd w:val="clear" w:color="auto" w:fill="auto"/>
            <w:hideMark/>
          </w:tcPr>
          <w:p w14:paraId="6F2A2C3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GAAP Contact Forms</w:t>
            </w:r>
          </w:p>
        </w:tc>
        <w:tc>
          <w:tcPr>
            <w:tcW w:w="1424" w:type="dxa"/>
            <w:tcBorders>
              <w:top w:val="nil"/>
              <w:left w:val="nil"/>
              <w:bottom w:val="single" w:sz="4" w:space="0" w:color="auto"/>
              <w:right w:val="single" w:sz="4" w:space="0" w:color="auto"/>
            </w:tcBorders>
            <w:shd w:val="clear" w:color="auto" w:fill="auto"/>
            <w:hideMark/>
          </w:tcPr>
          <w:p w14:paraId="3FEF559B"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June 6</w:t>
            </w:r>
          </w:p>
        </w:tc>
        <w:tc>
          <w:tcPr>
            <w:tcW w:w="1080" w:type="dxa"/>
            <w:tcBorders>
              <w:top w:val="nil"/>
              <w:left w:val="nil"/>
              <w:bottom w:val="single" w:sz="4" w:space="0" w:color="auto"/>
              <w:right w:val="single" w:sz="4" w:space="0" w:color="auto"/>
            </w:tcBorders>
            <w:shd w:val="clear" w:color="auto" w:fill="auto"/>
            <w:noWrap/>
            <w:hideMark/>
          </w:tcPr>
          <w:p w14:paraId="5BB3FF7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235D32A2"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6759E16C"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55ABF153" w14:textId="1EB68E69"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2.00</w:t>
            </w:r>
          </w:p>
        </w:tc>
        <w:tc>
          <w:tcPr>
            <w:tcW w:w="4322" w:type="dxa"/>
            <w:tcBorders>
              <w:top w:val="nil"/>
              <w:left w:val="nil"/>
              <w:bottom w:val="single" w:sz="4" w:space="0" w:color="auto"/>
              <w:right w:val="single" w:sz="4" w:space="0" w:color="auto"/>
            </w:tcBorders>
            <w:shd w:val="clear" w:color="auto" w:fill="auto"/>
            <w:hideMark/>
          </w:tcPr>
          <w:p w14:paraId="4055D5A5"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Master Reporting Package Checklist</w:t>
            </w:r>
          </w:p>
        </w:tc>
        <w:tc>
          <w:tcPr>
            <w:tcW w:w="1424" w:type="dxa"/>
            <w:tcBorders>
              <w:top w:val="nil"/>
              <w:left w:val="nil"/>
              <w:bottom w:val="single" w:sz="4" w:space="0" w:color="auto"/>
              <w:right w:val="single" w:sz="4" w:space="0" w:color="auto"/>
            </w:tcBorders>
            <w:shd w:val="clear" w:color="auto" w:fill="auto"/>
            <w:hideMark/>
          </w:tcPr>
          <w:p w14:paraId="37F1E24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3</w:t>
            </w:r>
          </w:p>
        </w:tc>
        <w:tc>
          <w:tcPr>
            <w:tcW w:w="1080" w:type="dxa"/>
            <w:tcBorders>
              <w:top w:val="nil"/>
              <w:left w:val="nil"/>
              <w:bottom w:val="single" w:sz="4" w:space="0" w:color="auto"/>
              <w:right w:val="single" w:sz="4" w:space="0" w:color="auto"/>
            </w:tcBorders>
            <w:shd w:val="clear" w:color="auto" w:fill="auto"/>
            <w:noWrap/>
            <w:hideMark/>
          </w:tcPr>
          <w:p w14:paraId="55826E45"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Thursday</w:t>
            </w:r>
          </w:p>
        </w:tc>
        <w:tc>
          <w:tcPr>
            <w:tcW w:w="1800" w:type="dxa"/>
            <w:tcBorders>
              <w:top w:val="nil"/>
              <w:left w:val="nil"/>
              <w:bottom w:val="single" w:sz="4" w:space="0" w:color="auto"/>
              <w:right w:val="single" w:sz="4" w:space="0" w:color="auto"/>
            </w:tcBorders>
            <w:shd w:val="clear" w:color="auto" w:fill="auto"/>
            <w:noWrap/>
            <w:hideMark/>
          </w:tcPr>
          <w:p w14:paraId="07CD3AE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356BA11C"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7E29D1D5"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3.01</w:t>
            </w:r>
          </w:p>
        </w:tc>
        <w:tc>
          <w:tcPr>
            <w:tcW w:w="4322" w:type="dxa"/>
            <w:tcBorders>
              <w:top w:val="nil"/>
              <w:left w:val="nil"/>
              <w:bottom w:val="single" w:sz="4" w:space="0" w:color="auto"/>
              <w:right w:val="single" w:sz="4" w:space="0" w:color="auto"/>
            </w:tcBorders>
            <w:shd w:val="clear" w:color="auto" w:fill="auto"/>
            <w:hideMark/>
          </w:tcPr>
          <w:p w14:paraId="2563E44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Cash and Investments Reporting Forms</w:t>
            </w:r>
          </w:p>
        </w:tc>
        <w:tc>
          <w:tcPr>
            <w:tcW w:w="1424" w:type="dxa"/>
            <w:tcBorders>
              <w:top w:val="nil"/>
              <w:left w:val="nil"/>
              <w:bottom w:val="single" w:sz="4" w:space="0" w:color="auto"/>
              <w:right w:val="single" w:sz="4" w:space="0" w:color="auto"/>
            </w:tcBorders>
            <w:shd w:val="clear" w:color="auto" w:fill="auto"/>
            <w:hideMark/>
          </w:tcPr>
          <w:p w14:paraId="043909B4"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18</w:t>
            </w:r>
          </w:p>
        </w:tc>
        <w:tc>
          <w:tcPr>
            <w:tcW w:w="1080" w:type="dxa"/>
            <w:tcBorders>
              <w:top w:val="nil"/>
              <w:left w:val="nil"/>
              <w:bottom w:val="single" w:sz="4" w:space="0" w:color="auto"/>
              <w:right w:val="single" w:sz="4" w:space="0" w:color="auto"/>
            </w:tcBorders>
            <w:shd w:val="clear" w:color="auto" w:fill="auto"/>
            <w:noWrap/>
            <w:hideMark/>
          </w:tcPr>
          <w:p w14:paraId="1B3601AE"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01EB2809"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003F98C3"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7D107FB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3.10</w:t>
            </w:r>
          </w:p>
        </w:tc>
        <w:tc>
          <w:tcPr>
            <w:tcW w:w="4322" w:type="dxa"/>
            <w:tcBorders>
              <w:top w:val="nil"/>
              <w:left w:val="nil"/>
              <w:bottom w:val="single" w:sz="4" w:space="0" w:color="auto"/>
              <w:right w:val="single" w:sz="4" w:space="0" w:color="auto"/>
            </w:tcBorders>
            <w:shd w:val="clear" w:color="auto" w:fill="auto"/>
            <w:hideMark/>
          </w:tcPr>
          <w:p w14:paraId="7D00B0CC"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Loan Receivables Reporting Forms</w:t>
            </w:r>
          </w:p>
        </w:tc>
        <w:tc>
          <w:tcPr>
            <w:tcW w:w="1424" w:type="dxa"/>
            <w:tcBorders>
              <w:top w:val="nil"/>
              <w:left w:val="nil"/>
              <w:bottom w:val="single" w:sz="4" w:space="0" w:color="auto"/>
              <w:right w:val="single" w:sz="4" w:space="0" w:color="auto"/>
            </w:tcBorders>
            <w:shd w:val="clear" w:color="auto" w:fill="auto"/>
            <w:hideMark/>
          </w:tcPr>
          <w:p w14:paraId="1E8B8529"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18</w:t>
            </w:r>
          </w:p>
        </w:tc>
        <w:tc>
          <w:tcPr>
            <w:tcW w:w="1080" w:type="dxa"/>
            <w:tcBorders>
              <w:top w:val="nil"/>
              <w:left w:val="nil"/>
              <w:bottom w:val="single" w:sz="4" w:space="0" w:color="auto"/>
              <w:right w:val="single" w:sz="4" w:space="0" w:color="auto"/>
            </w:tcBorders>
            <w:shd w:val="clear" w:color="auto" w:fill="auto"/>
            <w:noWrap/>
            <w:hideMark/>
          </w:tcPr>
          <w:p w14:paraId="698043E5"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78B9856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3FAC1F71"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22D42A50"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3.14</w:t>
            </w:r>
          </w:p>
        </w:tc>
        <w:tc>
          <w:tcPr>
            <w:tcW w:w="4322" w:type="dxa"/>
            <w:tcBorders>
              <w:top w:val="nil"/>
              <w:left w:val="nil"/>
              <w:bottom w:val="single" w:sz="4" w:space="0" w:color="auto"/>
              <w:right w:val="single" w:sz="4" w:space="0" w:color="auto"/>
            </w:tcBorders>
            <w:shd w:val="clear" w:color="auto" w:fill="auto"/>
            <w:hideMark/>
          </w:tcPr>
          <w:p w14:paraId="4067FEC1"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Disallowances and Penalties Reporting Forms</w:t>
            </w:r>
          </w:p>
        </w:tc>
        <w:tc>
          <w:tcPr>
            <w:tcW w:w="1424" w:type="dxa"/>
            <w:tcBorders>
              <w:top w:val="nil"/>
              <w:left w:val="nil"/>
              <w:bottom w:val="single" w:sz="4" w:space="0" w:color="auto"/>
              <w:right w:val="single" w:sz="4" w:space="0" w:color="auto"/>
            </w:tcBorders>
            <w:shd w:val="clear" w:color="auto" w:fill="auto"/>
            <w:hideMark/>
          </w:tcPr>
          <w:p w14:paraId="70A5031C"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18</w:t>
            </w:r>
          </w:p>
        </w:tc>
        <w:tc>
          <w:tcPr>
            <w:tcW w:w="1080" w:type="dxa"/>
            <w:tcBorders>
              <w:top w:val="nil"/>
              <w:left w:val="nil"/>
              <w:bottom w:val="single" w:sz="4" w:space="0" w:color="auto"/>
              <w:right w:val="single" w:sz="4" w:space="0" w:color="auto"/>
            </w:tcBorders>
            <w:shd w:val="clear" w:color="auto" w:fill="auto"/>
            <w:noWrap/>
            <w:hideMark/>
          </w:tcPr>
          <w:p w14:paraId="05753094"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7BD5445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05C65089"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493EF782"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3.09</w:t>
            </w:r>
          </w:p>
        </w:tc>
        <w:tc>
          <w:tcPr>
            <w:tcW w:w="4322" w:type="dxa"/>
            <w:tcBorders>
              <w:top w:val="nil"/>
              <w:left w:val="nil"/>
              <w:bottom w:val="single" w:sz="4" w:space="0" w:color="auto"/>
              <w:right w:val="single" w:sz="4" w:space="0" w:color="auto"/>
            </w:tcBorders>
            <w:shd w:val="clear" w:color="auto" w:fill="auto"/>
            <w:hideMark/>
          </w:tcPr>
          <w:p w14:paraId="0FAA1EAE"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Leases Reporting Forms (Final GL Recon)</w:t>
            </w:r>
          </w:p>
        </w:tc>
        <w:tc>
          <w:tcPr>
            <w:tcW w:w="1424" w:type="dxa"/>
            <w:tcBorders>
              <w:top w:val="nil"/>
              <w:left w:val="nil"/>
              <w:bottom w:val="single" w:sz="4" w:space="0" w:color="auto"/>
              <w:right w:val="single" w:sz="4" w:space="0" w:color="auto"/>
            </w:tcBorders>
            <w:shd w:val="clear" w:color="auto" w:fill="auto"/>
            <w:hideMark/>
          </w:tcPr>
          <w:p w14:paraId="0C67B4A2"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18</w:t>
            </w:r>
          </w:p>
        </w:tc>
        <w:tc>
          <w:tcPr>
            <w:tcW w:w="1080" w:type="dxa"/>
            <w:tcBorders>
              <w:top w:val="nil"/>
              <w:left w:val="nil"/>
              <w:bottom w:val="single" w:sz="4" w:space="0" w:color="auto"/>
              <w:right w:val="single" w:sz="4" w:space="0" w:color="auto"/>
            </w:tcBorders>
            <w:shd w:val="clear" w:color="auto" w:fill="auto"/>
            <w:noWrap/>
            <w:hideMark/>
          </w:tcPr>
          <w:p w14:paraId="01895FE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0E30EB7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2D29EF26"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240C5301"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3.11</w:t>
            </w:r>
          </w:p>
        </w:tc>
        <w:tc>
          <w:tcPr>
            <w:tcW w:w="4322" w:type="dxa"/>
            <w:tcBorders>
              <w:top w:val="nil"/>
              <w:left w:val="nil"/>
              <w:bottom w:val="single" w:sz="4" w:space="0" w:color="auto"/>
              <w:right w:val="single" w:sz="4" w:space="0" w:color="auto"/>
            </w:tcBorders>
            <w:shd w:val="clear" w:color="auto" w:fill="auto"/>
            <w:hideMark/>
          </w:tcPr>
          <w:p w14:paraId="07D9042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SBITA (Final GL Recon)</w:t>
            </w:r>
          </w:p>
        </w:tc>
        <w:tc>
          <w:tcPr>
            <w:tcW w:w="1424" w:type="dxa"/>
            <w:tcBorders>
              <w:top w:val="nil"/>
              <w:left w:val="nil"/>
              <w:bottom w:val="single" w:sz="4" w:space="0" w:color="auto"/>
              <w:right w:val="single" w:sz="4" w:space="0" w:color="auto"/>
            </w:tcBorders>
            <w:shd w:val="clear" w:color="auto" w:fill="auto"/>
            <w:hideMark/>
          </w:tcPr>
          <w:p w14:paraId="2B81F40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18</w:t>
            </w:r>
          </w:p>
        </w:tc>
        <w:tc>
          <w:tcPr>
            <w:tcW w:w="1080" w:type="dxa"/>
            <w:tcBorders>
              <w:top w:val="nil"/>
              <w:left w:val="nil"/>
              <w:bottom w:val="single" w:sz="4" w:space="0" w:color="auto"/>
              <w:right w:val="single" w:sz="4" w:space="0" w:color="auto"/>
            </w:tcBorders>
            <w:shd w:val="clear" w:color="auto" w:fill="auto"/>
            <w:noWrap/>
            <w:hideMark/>
          </w:tcPr>
          <w:p w14:paraId="337B58D1"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1E0B28D3"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4FDF88B1"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3CC84162"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3.13</w:t>
            </w:r>
          </w:p>
        </w:tc>
        <w:tc>
          <w:tcPr>
            <w:tcW w:w="4322" w:type="dxa"/>
            <w:tcBorders>
              <w:top w:val="nil"/>
              <w:left w:val="nil"/>
              <w:bottom w:val="single" w:sz="4" w:space="0" w:color="auto"/>
              <w:right w:val="single" w:sz="4" w:space="0" w:color="auto"/>
            </w:tcBorders>
            <w:shd w:val="clear" w:color="auto" w:fill="auto"/>
            <w:hideMark/>
          </w:tcPr>
          <w:p w14:paraId="6981341D"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Litigation Reporting Forms</w:t>
            </w:r>
          </w:p>
        </w:tc>
        <w:tc>
          <w:tcPr>
            <w:tcW w:w="1424" w:type="dxa"/>
            <w:tcBorders>
              <w:top w:val="nil"/>
              <w:left w:val="nil"/>
              <w:bottom w:val="single" w:sz="4" w:space="0" w:color="auto"/>
              <w:right w:val="single" w:sz="4" w:space="0" w:color="auto"/>
            </w:tcBorders>
            <w:shd w:val="clear" w:color="auto" w:fill="auto"/>
            <w:hideMark/>
          </w:tcPr>
          <w:p w14:paraId="1CB9271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July 25</w:t>
            </w:r>
          </w:p>
        </w:tc>
        <w:tc>
          <w:tcPr>
            <w:tcW w:w="1080" w:type="dxa"/>
            <w:tcBorders>
              <w:top w:val="nil"/>
              <w:left w:val="nil"/>
              <w:bottom w:val="single" w:sz="4" w:space="0" w:color="auto"/>
              <w:right w:val="single" w:sz="4" w:space="0" w:color="auto"/>
            </w:tcBorders>
            <w:shd w:val="clear" w:color="auto" w:fill="auto"/>
            <w:noWrap/>
            <w:hideMark/>
          </w:tcPr>
          <w:p w14:paraId="061D35B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29A23BDE"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745E5F91"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4D8BCE5C"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3.15</w:t>
            </w:r>
          </w:p>
        </w:tc>
        <w:tc>
          <w:tcPr>
            <w:tcW w:w="4322" w:type="dxa"/>
            <w:tcBorders>
              <w:top w:val="nil"/>
              <w:left w:val="nil"/>
              <w:bottom w:val="single" w:sz="4" w:space="0" w:color="auto"/>
              <w:right w:val="single" w:sz="4" w:space="0" w:color="auto"/>
            </w:tcBorders>
            <w:shd w:val="clear" w:color="auto" w:fill="auto"/>
            <w:hideMark/>
          </w:tcPr>
          <w:p w14:paraId="07787405"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Claims Reporting Forms</w:t>
            </w:r>
          </w:p>
        </w:tc>
        <w:tc>
          <w:tcPr>
            <w:tcW w:w="1424" w:type="dxa"/>
            <w:tcBorders>
              <w:top w:val="nil"/>
              <w:left w:val="nil"/>
              <w:bottom w:val="nil"/>
              <w:right w:val="single" w:sz="4" w:space="0" w:color="auto"/>
            </w:tcBorders>
            <w:shd w:val="clear" w:color="auto" w:fill="auto"/>
            <w:hideMark/>
          </w:tcPr>
          <w:p w14:paraId="33079A11"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1</w:t>
            </w:r>
          </w:p>
        </w:tc>
        <w:tc>
          <w:tcPr>
            <w:tcW w:w="1080" w:type="dxa"/>
            <w:tcBorders>
              <w:top w:val="nil"/>
              <w:left w:val="nil"/>
              <w:bottom w:val="single" w:sz="4" w:space="0" w:color="auto"/>
              <w:right w:val="single" w:sz="4" w:space="0" w:color="auto"/>
            </w:tcBorders>
            <w:shd w:val="clear" w:color="auto" w:fill="auto"/>
            <w:noWrap/>
            <w:hideMark/>
          </w:tcPr>
          <w:p w14:paraId="45AE4522"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499F03B7"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74E829C1" w14:textId="77777777" w:rsidTr="006814CD">
        <w:trPr>
          <w:trHeight w:val="330"/>
        </w:trPr>
        <w:tc>
          <w:tcPr>
            <w:tcW w:w="999" w:type="dxa"/>
            <w:tcBorders>
              <w:top w:val="nil"/>
              <w:left w:val="single" w:sz="4" w:space="0" w:color="auto"/>
              <w:bottom w:val="single" w:sz="4" w:space="0" w:color="auto"/>
              <w:right w:val="single" w:sz="4" w:space="0" w:color="auto"/>
            </w:tcBorders>
            <w:shd w:val="clear" w:color="auto" w:fill="auto"/>
            <w:noWrap/>
            <w:hideMark/>
          </w:tcPr>
          <w:p w14:paraId="63852094"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3.04</w:t>
            </w:r>
          </w:p>
        </w:tc>
        <w:tc>
          <w:tcPr>
            <w:tcW w:w="4322" w:type="dxa"/>
            <w:tcBorders>
              <w:top w:val="nil"/>
              <w:left w:val="nil"/>
              <w:bottom w:val="single" w:sz="4" w:space="0" w:color="auto"/>
              <w:right w:val="single" w:sz="4" w:space="0" w:color="auto"/>
            </w:tcBorders>
            <w:shd w:val="clear" w:color="auto" w:fill="auto"/>
            <w:hideMark/>
          </w:tcPr>
          <w:p w14:paraId="053FC4FB"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Other Receivables</w:t>
            </w:r>
          </w:p>
        </w:tc>
        <w:tc>
          <w:tcPr>
            <w:tcW w:w="1424" w:type="dxa"/>
            <w:tcBorders>
              <w:top w:val="single" w:sz="4" w:space="0" w:color="auto"/>
              <w:left w:val="nil"/>
              <w:bottom w:val="nil"/>
              <w:right w:val="single" w:sz="4" w:space="0" w:color="auto"/>
            </w:tcBorders>
            <w:shd w:val="clear" w:color="auto" w:fill="auto"/>
            <w:hideMark/>
          </w:tcPr>
          <w:p w14:paraId="7A74844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8</w:t>
            </w:r>
          </w:p>
        </w:tc>
        <w:tc>
          <w:tcPr>
            <w:tcW w:w="1080" w:type="dxa"/>
            <w:tcBorders>
              <w:top w:val="nil"/>
              <w:left w:val="nil"/>
              <w:bottom w:val="single" w:sz="4" w:space="0" w:color="auto"/>
              <w:right w:val="single" w:sz="4" w:space="0" w:color="auto"/>
            </w:tcBorders>
            <w:shd w:val="clear" w:color="auto" w:fill="auto"/>
            <w:noWrap/>
            <w:hideMark/>
          </w:tcPr>
          <w:p w14:paraId="6303B9B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20F86930"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75BCCD0A" w14:textId="77777777" w:rsidTr="006814CD">
        <w:trPr>
          <w:trHeight w:val="330"/>
        </w:trPr>
        <w:tc>
          <w:tcPr>
            <w:tcW w:w="999" w:type="dxa"/>
            <w:tcBorders>
              <w:top w:val="nil"/>
              <w:left w:val="single" w:sz="4" w:space="0" w:color="auto"/>
              <w:bottom w:val="single" w:sz="4" w:space="0" w:color="auto"/>
              <w:right w:val="single" w:sz="4" w:space="0" w:color="auto"/>
            </w:tcBorders>
            <w:shd w:val="clear" w:color="auto" w:fill="auto"/>
            <w:noWrap/>
            <w:hideMark/>
          </w:tcPr>
          <w:p w14:paraId="0996D0B8"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3.06</w:t>
            </w:r>
          </w:p>
        </w:tc>
        <w:tc>
          <w:tcPr>
            <w:tcW w:w="4322" w:type="dxa"/>
            <w:tcBorders>
              <w:top w:val="nil"/>
              <w:left w:val="nil"/>
              <w:bottom w:val="single" w:sz="4" w:space="0" w:color="auto"/>
              <w:right w:val="single" w:sz="4" w:space="0" w:color="auto"/>
            </w:tcBorders>
            <w:shd w:val="clear" w:color="auto" w:fill="auto"/>
            <w:hideMark/>
          </w:tcPr>
          <w:p w14:paraId="79D1E334"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Inventory Reporting Forms</w:t>
            </w:r>
          </w:p>
        </w:tc>
        <w:tc>
          <w:tcPr>
            <w:tcW w:w="1424" w:type="dxa"/>
            <w:tcBorders>
              <w:top w:val="single" w:sz="4" w:space="0" w:color="auto"/>
              <w:left w:val="nil"/>
              <w:bottom w:val="nil"/>
              <w:right w:val="single" w:sz="4" w:space="0" w:color="auto"/>
            </w:tcBorders>
            <w:shd w:val="clear" w:color="auto" w:fill="auto"/>
            <w:hideMark/>
          </w:tcPr>
          <w:p w14:paraId="04064339"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8</w:t>
            </w:r>
          </w:p>
        </w:tc>
        <w:tc>
          <w:tcPr>
            <w:tcW w:w="1080" w:type="dxa"/>
            <w:tcBorders>
              <w:top w:val="nil"/>
              <w:left w:val="nil"/>
              <w:bottom w:val="single" w:sz="4" w:space="0" w:color="auto"/>
              <w:right w:val="single" w:sz="4" w:space="0" w:color="auto"/>
            </w:tcBorders>
            <w:shd w:val="clear" w:color="auto" w:fill="auto"/>
            <w:noWrap/>
            <w:hideMark/>
          </w:tcPr>
          <w:p w14:paraId="7F4D8299"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5B981DD1"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6B78D02A" w14:textId="77777777" w:rsidTr="006814CD">
        <w:trPr>
          <w:trHeight w:val="440"/>
        </w:trPr>
        <w:tc>
          <w:tcPr>
            <w:tcW w:w="999" w:type="dxa"/>
            <w:tcBorders>
              <w:top w:val="nil"/>
              <w:left w:val="single" w:sz="4" w:space="0" w:color="auto"/>
              <w:bottom w:val="single" w:sz="4" w:space="0" w:color="auto"/>
              <w:right w:val="single" w:sz="4" w:space="0" w:color="auto"/>
            </w:tcBorders>
            <w:shd w:val="clear" w:color="auto" w:fill="auto"/>
            <w:noWrap/>
            <w:hideMark/>
          </w:tcPr>
          <w:p w14:paraId="6712EAF9"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3.16</w:t>
            </w:r>
          </w:p>
        </w:tc>
        <w:tc>
          <w:tcPr>
            <w:tcW w:w="4322" w:type="dxa"/>
            <w:tcBorders>
              <w:top w:val="nil"/>
              <w:left w:val="nil"/>
              <w:bottom w:val="single" w:sz="4" w:space="0" w:color="auto"/>
              <w:right w:val="single" w:sz="4" w:space="0" w:color="auto"/>
            </w:tcBorders>
            <w:shd w:val="clear" w:color="auto" w:fill="auto"/>
            <w:hideMark/>
          </w:tcPr>
          <w:p w14:paraId="5BCD337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Miscellaneous Loss Liabilities, Loss Contingencies, and Commitments Reporting Forms</w:t>
            </w:r>
          </w:p>
        </w:tc>
        <w:tc>
          <w:tcPr>
            <w:tcW w:w="1424" w:type="dxa"/>
            <w:tcBorders>
              <w:top w:val="single" w:sz="4" w:space="0" w:color="auto"/>
              <w:left w:val="nil"/>
              <w:bottom w:val="nil"/>
              <w:right w:val="single" w:sz="4" w:space="0" w:color="auto"/>
            </w:tcBorders>
            <w:shd w:val="clear" w:color="auto" w:fill="auto"/>
            <w:hideMark/>
          </w:tcPr>
          <w:p w14:paraId="6A3D24D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8</w:t>
            </w:r>
          </w:p>
        </w:tc>
        <w:tc>
          <w:tcPr>
            <w:tcW w:w="1080" w:type="dxa"/>
            <w:tcBorders>
              <w:top w:val="nil"/>
              <w:left w:val="nil"/>
              <w:bottom w:val="single" w:sz="4" w:space="0" w:color="auto"/>
              <w:right w:val="single" w:sz="4" w:space="0" w:color="auto"/>
            </w:tcBorders>
            <w:shd w:val="clear" w:color="auto" w:fill="auto"/>
            <w:noWrap/>
            <w:hideMark/>
          </w:tcPr>
          <w:p w14:paraId="46BC260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3B0C8C8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2679A956"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14D6DE63"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3.02</w:t>
            </w:r>
          </w:p>
        </w:tc>
        <w:tc>
          <w:tcPr>
            <w:tcW w:w="4322" w:type="dxa"/>
            <w:tcBorders>
              <w:top w:val="nil"/>
              <w:left w:val="nil"/>
              <w:bottom w:val="single" w:sz="4" w:space="0" w:color="auto"/>
              <w:right w:val="single" w:sz="4" w:space="0" w:color="auto"/>
            </w:tcBorders>
            <w:shd w:val="clear" w:color="auto" w:fill="auto"/>
            <w:hideMark/>
          </w:tcPr>
          <w:p w14:paraId="121E2AA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Tax Revenues Reporting Forms</w:t>
            </w:r>
          </w:p>
        </w:tc>
        <w:tc>
          <w:tcPr>
            <w:tcW w:w="1424" w:type="dxa"/>
            <w:tcBorders>
              <w:top w:val="single" w:sz="4" w:space="0" w:color="auto"/>
              <w:left w:val="nil"/>
              <w:bottom w:val="nil"/>
              <w:right w:val="single" w:sz="4" w:space="0" w:color="auto"/>
            </w:tcBorders>
            <w:shd w:val="clear" w:color="auto" w:fill="auto"/>
            <w:hideMark/>
          </w:tcPr>
          <w:p w14:paraId="2A56DC00"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8</w:t>
            </w:r>
          </w:p>
        </w:tc>
        <w:tc>
          <w:tcPr>
            <w:tcW w:w="1080" w:type="dxa"/>
            <w:tcBorders>
              <w:top w:val="nil"/>
              <w:left w:val="nil"/>
              <w:bottom w:val="single" w:sz="4" w:space="0" w:color="auto"/>
              <w:right w:val="single" w:sz="4" w:space="0" w:color="auto"/>
            </w:tcBorders>
            <w:shd w:val="clear" w:color="auto" w:fill="auto"/>
            <w:noWrap/>
            <w:hideMark/>
          </w:tcPr>
          <w:p w14:paraId="6142C09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58E363D4"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174EC2CB"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2462229C"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3.05</w:t>
            </w:r>
          </w:p>
        </w:tc>
        <w:tc>
          <w:tcPr>
            <w:tcW w:w="4322" w:type="dxa"/>
            <w:tcBorders>
              <w:top w:val="nil"/>
              <w:left w:val="nil"/>
              <w:bottom w:val="single" w:sz="4" w:space="0" w:color="auto"/>
              <w:right w:val="single" w:sz="4" w:space="0" w:color="auto"/>
            </w:tcBorders>
            <w:shd w:val="clear" w:color="auto" w:fill="auto"/>
            <w:hideMark/>
          </w:tcPr>
          <w:p w14:paraId="63D67065"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Unearned Revenue</w:t>
            </w:r>
          </w:p>
        </w:tc>
        <w:tc>
          <w:tcPr>
            <w:tcW w:w="1424" w:type="dxa"/>
            <w:tcBorders>
              <w:top w:val="single" w:sz="4" w:space="0" w:color="auto"/>
              <w:left w:val="nil"/>
              <w:bottom w:val="nil"/>
              <w:right w:val="single" w:sz="4" w:space="0" w:color="auto"/>
            </w:tcBorders>
            <w:shd w:val="clear" w:color="auto" w:fill="auto"/>
            <w:hideMark/>
          </w:tcPr>
          <w:p w14:paraId="34A2B599"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15</w:t>
            </w:r>
          </w:p>
        </w:tc>
        <w:tc>
          <w:tcPr>
            <w:tcW w:w="1080" w:type="dxa"/>
            <w:tcBorders>
              <w:top w:val="nil"/>
              <w:left w:val="nil"/>
              <w:bottom w:val="single" w:sz="4" w:space="0" w:color="auto"/>
              <w:right w:val="single" w:sz="4" w:space="0" w:color="auto"/>
            </w:tcBorders>
            <w:shd w:val="clear" w:color="auto" w:fill="auto"/>
            <w:noWrap/>
            <w:hideMark/>
          </w:tcPr>
          <w:p w14:paraId="611D7F6E"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43AE786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02B8F89C"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4393AD61"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3.07</w:t>
            </w:r>
          </w:p>
        </w:tc>
        <w:tc>
          <w:tcPr>
            <w:tcW w:w="4322" w:type="dxa"/>
            <w:tcBorders>
              <w:top w:val="nil"/>
              <w:left w:val="nil"/>
              <w:bottom w:val="single" w:sz="4" w:space="0" w:color="auto"/>
              <w:right w:val="single" w:sz="4" w:space="0" w:color="auto"/>
            </w:tcBorders>
            <w:shd w:val="clear" w:color="auto" w:fill="auto"/>
            <w:hideMark/>
          </w:tcPr>
          <w:p w14:paraId="136F2E98"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Prepaid Expense Reporting Forms</w:t>
            </w:r>
          </w:p>
        </w:tc>
        <w:tc>
          <w:tcPr>
            <w:tcW w:w="1424" w:type="dxa"/>
            <w:tcBorders>
              <w:top w:val="single" w:sz="4" w:space="0" w:color="auto"/>
              <w:left w:val="nil"/>
              <w:bottom w:val="nil"/>
              <w:right w:val="single" w:sz="4" w:space="0" w:color="auto"/>
            </w:tcBorders>
            <w:shd w:val="clear" w:color="auto" w:fill="auto"/>
            <w:hideMark/>
          </w:tcPr>
          <w:p w14:paraId="2B5B343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15</w:t>
            </w:r>
          </w:p>
        </w:tc>
        <w:tc>
          <w:tcPr>
            <w:tcW w:w="1080" w:type="dxa"/>
            <w:tcBorders>
              <w:top w:val="nil"/>
              <w:left w:val="nil"/>
              <w:bottom w:val="single" w:sz="4" w:space="0" w:color="auto"/>
              <w:right w:val="single" w:sz="4" w:space="0" w:color="auto"/>
            </w:tcBorders>
            <w:shd w:val="clear" w:color="auto" w:fill="auto"/>
            <w:noWrap/>
            <w:hideMark/>
          </w:tcPr>
          <w:p w14:paraId="64EF0841"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411CA37E"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04F43755"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0D26385D"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3.20</w:t>
            </w:r>
          </w:p>
        </w:tc>
        <w:tc>
          <w:tcPr>
            <w:tcW w:w="4322" w:type="dxa"/>
            <w:tcBorders>
              <w:top w:val="nil"/>
              <w:left w:val="nil"/>
              <w:bottom w:val="single" w:sz="4" w:space="0" w:color="auto"/>
              <w:right w:val="single" w:sz="4" w:space="0" w:color="auto"/>
            </w:tcBorders>
            <w:shd w:val="clear" w:color="auto" w:fill="auto"/>
            <w:hideMark/>
          </w:tcPr>
          <w:p w14:paraId="0E4D0A67"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Fund Classification Reporting Forms</w:t>
            </w:r>
          </w:p>
        </w:tc>
        <w:tc>
          <w:tcPr>
            <w:tcW w:w="1424" w:type="dxa"/>
            <w:tcBorders>
              <w:top w:val="single" w:sz="4" w:space="0" w:color="auto"/>
              <w:left w:val="nil"/>
              <w:bottom w:val="nil"/>
              <w:right w:val="single" w:sz="4" w:space="0" w:color="auto"/>
            </w:tcBorders>
            <w:shd w:val="clear" w:color="auto" w:fill="auto"/>
            <w:hideMark/>
          </w:tcPr>
          <w:p w14:paraId="3C94C7E2"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22</w:t>
            </w:r>
          </w:p>
        </w:tc>
        <w:tc>
          <w:tcPr>
            <w:tcW w:w="1080" w:type="dxa"/>
            <w:tcBorders>
              <w:top w:val="nil"/>
              <w:left w:val="nil"/>
              <w:bottom w:val="single" w:sz="4" w:space="0" w:color="auto"/>
              <w:right w:val="single" w:sz="4" w:space="0" w:color="auto"/>
            </w:tcBorders>
            <w:shd w:val="clear" w:color="auto" w:fill="auto"/>
            <w:noWrap/>
            <w:hideMark/>
          </w:tcPr>
          <w:p w14:paraId="32C4F5B8"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4913501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64B15D22"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27FB7B77"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3.18</w:t>
            </w:r>
          </w:p>
        </w:tc>
        <w:tc>
          <w:tcPr>
            <w:tcW w:w="4322" w:type="dxa"/>
            <w:tcBorders>
              <w:top w:val="nil"/>
              <w:left w:val="nil"/>
              <w:bottom w:val="single" w:sz="4" w:space="0" w:color="auto"/>
              <w:right w:val="single" w:sz="4" w:space="0" w:color="auto"/>
            </w:tcBorders>
            <w:shd w:val="clear" w:color="auto" w:fill="auto"/>
            <w:hideMark/>
          </w:tcPr>
          <w:p w14:paraId="75BC57EC"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Interfund Payables Reporting Forms</w:t>
            </w:r>
          </w:p>
        </w:tc>
        <w:tc>
          <w:tcPr>
            <w:tcW w:w="1424" w:type="dxa"/>
            <w:tcBorders>
              <w:top w:val="single" w:sz="4" w:space="0" w:color="auto"/>
              <w:left w:val="nil"/>
              <w:bottom w:val="nil"/>
              <w:right w:val="single" w:sz="4" w:space="0" w:color="auto"/>
            </w:tcBorders>
            <w:shd w:val="clear" w:color="auto" w:fill="auto"/>
            <w:hideMark/>
          </w:tcPr>
          <w:p w14:paraId="5585F4D1"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August 29</w:t>
            </w:r>
          </w:p>
        </w:tc>
        <w:tc>
          <w:tcPr>
            <w:tcW w:w="1080" w:type="dxa"/>
            <w:tcBorders>
              <w:top w:val="nil"/>
              <w:left w:val="nil"/>
              <w:bottom w:val="single" w:sz="4" w:space="0" w:color="auto"/>
              <w:right w:val="single" w:sz="4" w:space="0" w:color="auto"/>
            </w:tcBorders>
            <w:shd w:val="clear" w:color="auto" w:fill="auto"/>
            <w:noWrap/>
            <w:hideMark/>
          </w:tcPr>
          <w:p w14:paraId="0F0DC7F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1EBD7154"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55FB09A6"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034ED55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3.03</w:t>
            </w:r>
          </w:p>
        </w:tc>
        <w:tc>
          <w:tcPr>
            <w:tcW w:w="4322" w:type="dxa"/>
            <w:tcBorders>
              <w:top w:val="nil"/>
              <w:left w:val="nil"/>
              <w:bottom w:val="single" w:sz="4" w:space="0" w:color="auto"/>
              <w:right w:val="single" w:sz="4" w:space="0" w:color="auto"/>
            </w:tcBorders>
            <w:shd w:val="clear" w:color="auto" w:fill="auto"/>
            <w:hideMark/>
          </w:tcPr>
          <w:p w14:paraId="025B4B5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Grant/Contribution Revenues Reporting Forms</w:t>
            </w:r>
          </w:p>
        </w:tc>
        <w:tc>
          <w:tcPr>
            <w:tcW w:w="1424" w:type="dxa"/>
            <w:tcBorders>
              <w:top w:val="single" w:sz="4" w:space="0" w:color="auto"/>
              <w:left w:val="nil"/>
              <w:bottom w:val="single" w:sz="4" w:space="0" w:color="auto"/>
              <w:right w:val="single" w:sz="4" w:space="0" w:color="auto"/>
            </w:tcBorders>
            <w:shd w:val="clear" w:color="auto" w:fill="auto"/>
            <w:hideMark/>
          </w:tcPr>
          <w:p w14:paraId="03660F32"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September 12</w:t>
            </w:r>
          </w:p>
        </w:tc>
        <w:tc>
          <w:tcPr>
            <w:tcW w:w="1080" w:type="dxa"/>
            <w:tcBorders>
              <w:top w:val="nil"/>
              <w:left w:val="nil"/>
              <w:bottom w:val="single" w:sz="4" w:space="0" w:color="auto"/>
              <w:right w:val="single" w:sz="4" w:space="0" w:color="auto"/>
            </w:tcBorders>
            <w:shd w:val="clear" w:color="auto" w:fill="auto"/>
            <w:noWrap/>
            <w:hideMark/>
          </w:tcPr>
          <w:p w14:paraId="7D619951"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2443BECA"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7460C21E"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1AADFCF9"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3.12</w:t>
            </w:r>
          </w:p>
        </w:tc>
        <w:tc>
          <w:tcPr>
            <w:tcW w:w="4322" w:type="dxa"/>
            <w:tcBorders>
              <w:top w:val="nil"/>
              <w:left w:val="nil"/>
              <w:bottom w:val="single" w:sz="4" w:space="0" w:color="auto"/>
              <w:right w:val="single" w:sz="4" w:space="0" w:color="auto"/>
            </w:tcBorders>
            <w:shd w:val="clear" w:color="auto" w:fill="auto"/>
            <w:hideMark/>
          </w:tcPr>
          <w:p w14:paraId="1FCEA3DE"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Accounts Payable Reporting Forms</w:t>
            </w:r>
          </w:p>
        </w:tc>
        <w:tc>
          <w:tcPr>
            <w:tcW w:w="1424" w:type="dxa"/>
            <w:tcBorders>
              <w:top w:val="nil"/>
              <w:left w:val="nil"/>
              <w:bottom w:val="single" w:sz="4" w:space="0" w:color="auto"/>
              <w:right w:val="single" w:sz="4" w:space="0" w:color="auto"/>
            </w:tcBorders>
            <w:shd w:val="clear" w:color="auto" w:fill="auto"/>
            <w:hideMark/>
          </w:tcPr>
          <w:p w14:paraId="55713318"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September 12</w:t>
            </w:r>
          </w:p>
        </w:tc>
        <w:tc>
          <w:tcPr>
            <w:tcW w:w="1080" w:type="dxa"/>
            <w:tcBorders>
              <w:top w:val="nil"/>
              <w:left w:val="nil"/>
              <w:bottom w:val="single" w:sz="4" w:space="0" w:color="auto"/>
              <w:right w:val="single" w:sz="4" w:space="0" w:color="auto"/>
            </w:tcBorders>
            <w:shd w:val="clear" w:color="auto" w:fill="auto"/>
            <w:noWrap/>
            <w:hideMark/>
          </w:tcPr>
          <w:p w14:paraId="72C20971"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18F11935"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Workiva</w:t>
            </w:r>
          </w:p>
        </w:tc>
      </w:tr>
      <w:tr w:rsidR="006814CD" w:rsidRPr="006814CD" w14:paraId="08ACBB7E"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3F03FE1F"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3.08</w:t>
            </w:r>
          </w:p>
        </w:tc>
        <w:tc>
          <w:tcPr>
            <w:tcW w:w="4322" w:type="dxa"/>
            <w:tcBorders>
              <w:top w:val="nil"/>
              <w:left w:val="nil"/>
              <w:bottom w:val="single" w:sz="4" w:space="0" w:color="auto"/>
              <w:right w:val="single" w:sz="4" w:space="0" w:color="auto"/>
            </w:tcBorders>
            <w:shd w:val="clear" w:color="auto" w:fill="auto"/>
            <w:hideMark/>
          </w:tcPr>
          <w:p w14:paraId="1738C39B"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Capital Assets Reporting Forms</w:t>
            </w:r>
          </w:p>
        </w:tc>
        <w:tc>
          <w:tcPr>
            <w:tcW w:w="1424" w:type="dxa"/>
            <w:tcBorders>
              <w:top w:val="nil"/>
              <w:left w:val="nil"/>
              <w:bottom w:val="single" w:sz="4" w:space="0" w:color="auto"/>
              <w:right w:val="single" w:sz="4" w:space="0" w:color="auto"/>
            </w:tcBorders>
            <w:shd w:val="clear" w:color="auto" w:fill="auto"/>
            <w:hideMark/>
          </w:tcPr>
          <w:p w14:paraId="77B4CAB3"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September 12</w:t>
            </w:r>
          </w:p>
        </w:tc>
        <w:tc>
          <w:tcPr>
            <w:tcW w:w="1080" w:type="dxa"/>
            <w:tcBorders>
              <w:top w:val="nil"/>
              <w:left w:val="nil"/>
              <w:bottom w:val="single" w:sz="4" w:space="0" w:color="auto"/>
              <w:right w:val="single" w:sz="4" w:space="0" w:color="auto"/>
            </w:tcBorders>
            <w:shd w:val="clear" w:color="auto" w:fill="auto"/>
            <w:noWrap/>
            <w:hideMark/>
          </w:tcPr>
          <w:p w14:paraId="6DD13A79"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0EBD2122"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r w:rsidR="006814CD" w:rsidRPr="006814CD" w14:paraId="1D07C1C2" w14:textId="77777777" w:rsidTr="006814CD">
        <w:trPr>
          <w:trHeight w:val="282"/>
        </w:trPr>
        <w:tc>
          <w:tcPr>
            <w:tcW w:w="999" w:type="dxa"/>
            <w:tcBorders>
              <w:top w:val="nil"/>
              <w:left w:val="single" w:sz="4" w:space="0" w:color="auto"/>
              <w:bottom w:val="single" w:sz="4" w:space="0" w:color="auto"/>
              <w:right w:val="single" w:sz="4" w:space="0" w:color="auto"/>
            </w:tcBorders>
            <w:shd w:val="clear" w:color="auto" w:fill="auto"/>
            <w:noWrap/>
            <w:hideMark/>
          </w:tcPr>
          <w:p w14:paraId="65A195B5"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2.01</w:t>
            </w:r>
          </w:p>
        </w:tc>
        <w:tc>
          <w:tcPr>
            <w:tcW w:w="4322" w:type="dxa"/>
            <w:tcBorders>
              <w:top w:val="nil"/>
              <w:left w:val="nil"/>
              <w:bottom w:val="single" w:sz="4" w:space="0" w:color="auto"/>
              <w:right w:val="single" w:sz="4" w:space="0" w:color="auto"/>
            </w:tcBorders>
            <w:shd w:val="clear" w:color="auto" w:fill="auto"/>
            <w:hideMark/>
          </w:tcPr>
          <w:p w14:paraId="02F91ECB"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Subsequent Events Package</w:t>
            </w:r>
          </w:p>
        </w:tc>
        <w:tc>
          <w:tcPr>
            <w:tcW w:w="1424" w:type="dxa"/>
            <w:tcBorders>
              <w:top w:val="nil"/>
              <w:left w:val="nil"/>
              <w:bottom w:val="single" w:sz="4" w:space="0" w:color="auto"/>
              <w:right w:val="single" w:sz="4" w:space="0" w:color="auto"/>
            </w:tcBorders>
            <w:shd w:val="clear" w:color="auto" w:fill="auto"/>
            <w:hideMark/>
          </w:tcPr>
          <w:p w14:paraId="2A1F03A6"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November 14</w:t>
            </w:r>
          </w:p>
        </w:tc>
        <w:tc>
          <w:tcPr>
            <w:tcW w:w="1080" w:type="dxa"/>
            <w:tcBorders>
              <w:top w:val="nil"/>
              <w:left w:val="nil"/>
              <w:bottom w:val="single" w:sz="4" w:space="0" w:color="auto"/>
              <w:right w:val="single" w:sz="4" w:space="0" w:color="auto"/>
            </w:tcBorders>
            <w:shd w:val="clear" w:color="auto" w:fill="auto"/>
            <w:noWrap/>
            <w:hideMark/>
          </w:tcPr>
          <w:p w14:paraId="02DBD01A" w14:textId="77777777" w:rsidR="006814CD" w:rsidRPr="006814CD" w:rsidRDefault="006814CD" w:rsidP="006814CD">
            <w:pPr>
              <w:spacing w:before="0" w:after="0"/>
              <w:jc w:val="center"/>
              <w:rPr>
                <w:rFonts w:ascii="Arial Narrow" w:hAnsi="Arial Narrow" w:cs="Arial"/>
                <w:color w:val="000000"/>
                <w:sz w:val="22"/>
                <w:szCs w:val="22"/>
              </w:rPr>
            </w:pPr>
            <w:r w:rsidRPr="006814CD">
              <w:rPr>
                <w:rFonts w:ascii="Arial Narrow" w:hAnsi="Arial Narrow" w:cs="Arial"/>
                <w:color w:val="000000"/>
                <w:sz w:val="22"/>
                <w:szCs w:val="22"/>
              </w:rPr>
              <w:t>Friday</w:t>
            </w:r>
          </w:p>
        </w:tc>
        <w:tc>
          <w:tcPr>
            <w:tcW w:w="1800" w:type="dxa"/>
            <w:tcBorders>
              <w:top w:val="nil"/>
              <w:left w:val="nil"/>
              <w:bottom w:val="single" w:sz="4" w:space="0" w:color="auto"/>
              <w:right w:val="single" w:sz="4" w:space="0" w:color="auto"/>
            </w:tcBorders>
            <w:shd w:val="clear" w:color="auto" w:fill="auto"/>
            <w:noWrap/>
            <w:hideMark/>
          </w:tcPr>
          <w:p w14:paraId="45CB22ED" w14:textId="77777777" w:rsidR="006814CD" w:rsidRPr="006814CD" w:rsidRDefault="006814CD" w:rsidP="006814CD">
            <w:pPr>
              <w:spacing w:before="0" w:after="0"/>
              <w:jc w:val="center"/>
              <w:rPr>
                <w:rFonts w:ascii="Arial Narrow" w:hAnsi="Arial Narrow" w:cs="Arial"/>
                <w:sz w:val="22"/>
                <w:szCs w:val="22"/>
              </w:rPr>
            </w:pPr>
            <w:r w:rsidRPr="006814CD">
              <w:rPr>
                <w:rFonts w:ascii="Arial Narrow" w:hAnsi="Arial Narrow" w:cs="Arial"/>
                <w:sz w:val="22"/>
                <w:szCs w:val="22"/>
              </w:rPr>
              <w:t>Excel/ACFR email</w:t>
            </w:r>
          </w:p>
        </w:tc>
      </w:tr>
    </w:tbl>
    <w:p w14:paraId="044E71C8" w14:textId="77777777" w:rsidR="006814CD" w:rsidRPr="00290DC2" w:rsidRDefault="006814CD" w:rsidP="006814CD">
      <w:pPr>
        <w:rPr>
          <w:szCs w:val="24"/>
        </w:rPr>
      </w:pPr>
    </w:p>
    <w:p w14:paraId="564C37D2" w14:textId="46E31C1A" w:rsidR="00F42FD5" w:rsidRPr="00290DC2" w:rsidRDefault="00896186">
      <w:pPr>
        <w:spacing w:line="260" w:lineRule="exact"/>
        <w:rPr>
          <w:szCs w:val="24"/>
        </w:rPr>
      </w:pPr>
      <w:r w:rsidRPr="00290DC2">
        <w:rPr>
          <w:szCs w:val="24"/>
        </w:rPr>
        <w:t xml:space="preserve">Agencies are encouraged to submit </w:t>
      </w:r>
      <w:r w:rsidR="00743B15">
        <w:rPr>
          <w:szCs w:val="24"/>
        </w:rPr>
        <w:t>reporting forms and</w:t>
      </w:r>
      <w:r w:rsidRPr="00290DC2">
        <w:rPr>
          <w:szCs w:val="24"/>
        </w:rPr>
        <w:t xml:space="preserve"> packages </w:t>
      </w:r>
      <w:r w:rsidRPr="00290DC2">
        <w:rPr>
          <w:i/>
          <w:iCs/>
          <w:szCs w:val="24"/>
        </w:rPr>
        <w:t>before</w:t>
      </w:r>
      <w:r w:rsidRPr="00290DC2">
        <w:rPr>
          <w:szCs w:val="24"/>
        </w:rPr>
        <w:t xml:space="preserve"> the deadlines when it is feasible to do so.  This helps the financial reporting staff in the Comptroller General’s Office to keep the A</w:t>
      </w:r>
      <w:r w:rsidR="005E0E8A">
        <w:rPr>
          <w:szCs w:val="24"/>
        </w:rPr>
        <w:t>C</w:t>
      </w:r>
      <w:r w:rsidRPr="00290DC2">
        <w:rPr>
          <w:szCs w:val="24"/>
        </w:rPr>
        <w:t>FR preparation process on target.</w:t>
      </w:r>
    </w:p>
    <w:p w14:paraId="4506524C" w14:textId="77777777" w:rsidR="0012040B" w:rsidRDefault="00290DC2" w:rsidP="003B02BA">
      <w:pPr>
        <w:pStyle w:val="Heading2"/>
      </w:pPr>
      <w:bookmarkStart w:id="80" w:name="_Toc296021430"/>
      <w:bookmarkStart w:id="81" w:name="_Toc296021517"/>
      <w:bookmarkStart w:id="82" w:name="_Toc296235409"/>
      <w:bookmarkStart w:id="83" w:name="_Toc296235510"/>
      <w:bookmarkStart w:id="84" w:name="_Toc296247794"/>
      <w:bookmarkStart w:id="85" w:name="_Toc166149227"/>
      <w:r>
        <w:lastRenderedPageBreak/>
        <w:t xml:space="preserve">Section </w:t>
      </w:r>
      <w:r w:rsidR="009B555D">
        <w:t>1</w:t>
      </w:r>
      <w:r w:rsidR="00896186" w:rsidRPr="00290DC2">
        <w:t xml:space="preserve">.6 AN OVERVIEW OF THE </w:t>
      </w:r>
      <w:r w:rsidR="008D5793" w:rsidRPr="00290DC2">
        <w:t>YEAR-END</w:t>
      </w:r>
      <w:r w:rsidR="00896186" w:rsidRPr="00290DC2">
        <w:t xml:space="preserve"> </w:t>
      </w:r>
      <w:r w:rsidR="008D5793" w:rsidRPr="00290DC2">
        <w:t xml:space="preserve">REPORTING </w:t>
      </w:r>
      <w:r w:rsidR="00896186" w:rsidRPr="00290DC2">
        <w:t>PROCESS</w:t>
      </w:r>
      <w:bookmarkEnd w:id="80"/>
      <w:bookmarkEnd w:id="81"/>
      <w:bookmarkEnd w:id="82"/>
      <w:bookmarkEnd w:id="83"/>
      <w:bookmarkEnd w:id="84"/>
      <w:bookmarkEnd w:id="85"/>
    </w:p>
    <w:p w14:paraId="1E9013BD" w14:textId="77777777" w:rsidR="00896186" w:rsidRPr="00290DC2" w:rsidRDefault="00896186" w:rsidP="00E844A5">
      <w:pPr>
        <w:pStyle w:val="Heading3"/>
      </w:pPr>
      <w:bookmarkStart w:id="86" w:name="_Toc296021431"/>
      <w:bookmarkStart w:id="87" w:name="_Toc296021518"/>
      <w:bookmarkStart w:id="88" w:name="_Toc296235410"/>
      <w:bookmarkStart w:id="89" w:name="_Toc296235511"/>
      <w:bookmarkStart w:id="90" w:name="_Toc296247795"/>
      <w:bookmarkStart w:id="91" w:name="_Toc166149228"/>
      <w:r w:rsidRPr="00290DC2">
        <w:t xml:space="preserve">What Role Does </w:t>
      </w:r>
      <w:r w:rsidR="008D5793" w:rsidRPr="00290DC2">
        <w:t>SCEIS</w:t>
      </w:r>
      <w:r w:rsidR="000D4DB2" w:rsidRPr="00290DC2">
        <w:t xml:space="preserve"> </w:t>
      </w:r>
      <w:r w:rsidR="000E0393" w:rsidRPr="00290DC2">
        <w:t>p</w:t>
      </w:r>
      <w:r w:rsidRPr="00290DC2">
        <w:t xml:space="preserve">lay in the </w:t>
      </w:r>
      <w:r w:rsidR="000E0393" w:rsidRPr="00290DC2">
        <w:t>Year-End Reporting</w:t>
      </w:r>
      <w:r w:rsidR="008D5793" w:rsidRPr="00290DC2">
        <w:t xml:space="preserve"> </w:t>
      </w:r>
      <w:r w:rsidRPr="00290DC2">
        <w:t>Process?</w:t>
      </w:r>
      <w:bookmarkEnd w:id="86"/>
      <w:bookmarkEnd w:id="87"/>
      <w:bookmarkEnd w:id="88"/>
      <w:bookmarkEnd w:id="89"/>
      <w:bookmarkEnd w:id="90"/>
      <w:bookmarkEnd w:id="91"/>
    </w:p>
    <w:p w14:paraId="1852033E" w14:textId="7D6262C8" w:rsidR="00896186" w:rsidRPr="00290DC2" w:rsidRDefault="00896186" w:rsidP="000E0393">
      <w:pPr>
        <w:keepLines/>
        <w:spacing w:before="60"/>
        <w:rPr>
          <w:szCs w:val="24"/>
        </w:rPr>
      </w:pPr>
      <w:r w:rsidRPr="00290DC2">
        <w:rPr>
          <w:szCs w:val="24"/>
        </w:rPr>
        <w:t xml:space="preserve">The accounting transactions and balances that agencies record in </w:t>
      </w:r>
      <w:r w:rsidR="008D5793" w:rsidRPr="00290DC2">
        <w:rPr>
          <w:szCs w:val="24"/>
        </w:rPr>
        <w:t>SCEIS</w:t>
      </w:r>
      <w:r w:rsidRPr="00290DC2">
        <w:rPr>
          <w:szCs w:val="24"/>
        </w:rPr>
        <w:t xml:space="preserve"> form the </w:t>
      </w:r>
      <w:r w:rsidR="003B579E" w:rsidRPr="00290DC2">
        <w:rPr>
          <w:szCs w:val="24"/>
        </w:rPr>
        <w:t xml:space="preserve">foundation </w:t>
      </w:r>
      <w:r w:rsidRPr="00290DC2">
        <w:rPr>
          <w:szCs w:val="24"/>
        </w:rPr>
        <w:t xml:space="preserve">for South Carolina’s </w:t>
      </w:r>
      <w:r w:rsidR="003B579E" w:rsidRPr="00290DC2">
        <w:rPr>
          <w:szCs w:val="24"/>
        </w:rPr>
        <w:t>year-end reporting</w:t>
      </w:r>
      <w:r w:rsidRPr="00290DC2">
        <w:rPr>
          <w:szCs w:val="24"/>
        </w:rPr>
        <w:t xml:space="preserve"> process.  In preparing the State’s A</w:t>
      </w:r>
      <w:r w:rsidR="005E0E8A">
        <w:rPr>
          <w:szCs w:val="24"/>
        </w:rPr>
        <w:t>C</w:t>
      </w:r>
      <w:r w:rsidRPr="00290DC2">
        <w:rPr>
          <w:szCs w:val="24"/>
        </w:rPr>
        <w:t xml:space="preserve">FR, the Comptroller General's Office </w:t>
      </w:r>
      <w:r w:rsidR="003B579E" w:rsidRPr="00290DC2">
        <w:rPr>
          <w:szCs w:val="24"/>
        </w:rPr>
        <w:t>will utilize as much information from SCEIS as is possible.  Verification of balances reported in SCEIS will be requested of agency personnel because the greatest source of knowledge for evaluating completeness and accuracy are those who work with the activity daily.  Certain accounting informat</w:t>
      </w:r>
      <w:r w:rsidR="007810A8">
        <w:rPr>
          <w:szCs w:val="24"/>
        </w:rPr>
        <w:t>ion is not recorded in the book of original entry or an entity’s accounting information system</w:t>
      </w:r>
      <w:r w:rsidR="003B579E" w:rsidRPr="00290DC2">
        <w:rPr>
          <w:szCs w:val="24"/>
        </w:rPr>
        <w:t xml:space="preserve">.  This information is obtained in the year-end reporting packages completed by agency personnel.  </w:t>
      </w:r>
      <w:r w:rsidRPr="00290DC2">
        <w:rPr>
          <w:szCs w:val="24"/>
        </w:rPr>
        <w:t xml:space="preserve">(See </w:t>
      </w:r>
      <w:r w:rsidR="003B579E" w:rsidRPr="00290DC2">
        <w:rPr>
          <w:szCs w:val="24"/>
        </w:rPr>
        <w:t xml:space="preserve">Section </w:t>
      </w:r>
      <w:r w:rsidRPr="00290DC2">
        <w:rPr>
          <w:szCs w:val="24"/>
        </w:rPr>
        <w:t>1.</w:t>
      </w:r>
      <w:r w:rsidR="006814CD">
        <w:rPr>
          <w:szCs w:val="24"/>
        </w:rPr>
        <w:t>2</w:t>
      </w:r>
      <w:r w:rsidRPr="00290DC2">
        <w:rPr>
          <w:szCs w:val="24"/>
        </w:rPr>
        <w:t xml:space="preserve">, </w:t>
      </w:r>
      <w:r w:rsidR="003B579E" w:rsidRPr="00A01BAE">
        <w:rPr>
          <w:iCs/>
          <w:szCs w:val="24"/>
        </w:rPr>
        <w:t>Year-end Reporting</w:t>
      </w:r>
      <w:r w:rsidRPr="00A01BAE">
        <w:rPr>
          <w:iCs/>
          <w:szCs w:val="24"/>
        </w:rPr>
        <w:t>—Overview</w:t>
      </w:r>
      <w:r w:rsidRPr="00A01BAE">
        <w:rPr>
          <w:szCs w:val="24"/>
        </w:rPr>
        <w:t>.</w:t>
      </w:r>
      <w:r w:rsidRPr="00290DC2">
        <w:rPr>
          <w:szCs w:val="24"/>
        </w:rPr>
        <w:t xml:space="preserve">)  </w:t>
      </w:r>
    </w:p>
    <w:p w14:paraId="1D53233D" w14:textId="2AE77AC6" w:rsidR="00896186" w:rsidRPr="00290DC2" w:rsidRDefault="003B579E">
      <w:pPr>
        <w:spacing w:before="240"/>
        <w:rPr>
          <w:szCs w:val="24"/>
        </w:rPr>
      </w:pPr>
      <w:r w:rsidRPr="00290DC2">
        <w:rPr>
          <w:szCs w:val="24"/>
        </w:rPr>
        <w:t xml:space="preserve">The information obtained from SCEIS </w:t>
      </w:r>
      <w:r w:rsidR="00801226">
        <w:rPr>
          <w:szCs w:val="24"/>
        </w:rPr>
        <w:t xml:space="preserve">as adjusted based on information obtained from the year-end reporting packages </w:t>
      </w:r>
      <w:r w:rsidRPr="00290DC2">
        <w:rPr>
          <w:szCs w:val="24"/>
        </w:rPr>
        <w:t>is combined with separately audited agency financial statements to publish the statewide A</w:t>
      </w:r>
      <w:r w:rsidR="005E0E8A">
        <w:rPr>
          <w:szCs w:val="24"/>
        </w:rPr>
        <w:t>C</w:t>
      </w:r>
      <w:r w:rsidRPr="00290DC2">
        <w:rPr>
          <w:szCs w:val="24"/>
        </w:rPr>
        <w:t xml:space="preserve">FR.  </w:t>
      </w:r>
    </w:p>
    <w:p w14:paraId="197B9A1A" w14:textId="77777777" w:rsidR="00896186" w:rsidRPr="00290DC2" w:rsidRDefault="00896186" w:rsidP="00E844A5">
      <w:pPr>
        <w:pStyle w:val="Heading3"/>
      </w:pPr>
      <w:bookmarkStart w:id="92" w:name="_Toc296021432"/>
      <w:bookmarkStart w:id="93" w:name="_Toc296021519"/>
      <w:bookmarkStart w:id="94" w:name="_Toc296235411"/>
      <w:bookmarkStart w:id="95" w:name="_Toc296235512"/>
      <w:bookmarkStart w:id="96" w:name="_Toc296247796"/>
      <w:bookmarkStart w:id="97" w:name="_Toc166149229"/>
      <w:r w:rsidRPr="00290DC2">
        <w:t>The Importance of Timeliness in Financial Reporting</w:t>
      </w:r>
      <w:bookmarkEnd w:id="92"/>
      <w:bookmarkEnd w:id="93"/>
      <w:bookmarkEnd w:id="94"/>
      <w:bookmarkEnd w:id="95"/>
      <w:bookmarkEnd w:id="96"/>
      <w:bookmarkEnd w:id="97"/>
    </w:p>
    <w:p w14:paraId="35D3A11A" w14:textId="77777777" w:rsidR="00896186" w:rsidRPr="00290DC2" w:rsidRDefault="00896186" w:rsidP="003B579E">
      <w:pPr>
        <w:spacing w:before="60" w:after="60"/>
        <w:rPr>
          <w:szCs w:val="24"/>
        </w:rPr>
      </w:pPr>
      <w:r w:rsidRPr="00290DC2">
        <w:rPr>
          <w:szCs w:val="24"/>
        </w:rPr>
        <w:t>In 1987,</w:t>
      </w:r>
      <w:r w:rsidR="003B579E" w:rsidRPr="00290DC2">
        <w:rPr>
          <w:szCs w:val="24"/>
        </w:rPr>
        <w:t xml:space="preserve"> </w:t>
      </w:r>
      <w:r w:rsidRPr="00290DC2">
        <w:rPr>
          <w:szCs w:val="24"/>
        </w:rPr>
        <w:t xml:space="preserve">the Governmental Accounting Standards Board (GASB) issued Concepts Statement No. 1 </w:t>
      </w:r>
      <w:proofErr w:type="gramStart"/>
      <w:r w:rsidRPr="00290DC2">
        <w:rPr>
          <w:szCs w:val="24"/>
        </w:rPr>
        <w:t>entitled</w:t>
      </w:r>
      <w:proofErr w:type="gramEnd"/>
      <w:r w:rsidRPr="00290DC2">
        <w:rPr>
          <w:szCs w:val="24"/>
        </w:rPr>
        <w:t xml:space="preserve"> </w:t>
      </w:r>
      <w:r w:rsidRPr="00290DC2">
        <w:rPr>
          <w:i/>
          <w:iCs/>
          <w:szCs w:val="24"/>
        </w:rPr>
        <w:t>Objectives of Financial Reporting</w:t>
      </w:r>
      <w:r w:rsidRPr="00290DC2">
        <w:rPr>
          <w:szCs w:val="24"/>
        </w:rPr>
        <w:t>.  Paragraph 66 states:</w:t>
      </w:r>
    </w:p>
    <w:p w14:paraId="12D82B21" w14:textId="77777777" w:rsidR="00896186" w:rsidRPr="00290DC2" w:rsidRDefault="00896186" w:rsidP="003B579E">
      <w:pPr>
        <w:pStyle w:val="Quote1"/>
        <w:spacing w:before="60"/>
        <w:rPr>
          <w:szCs w:val="24"/>
        </w:rPr>
      </w:pPr>
      <w:r w:rsidRPr="00290DC2">
        <w:rPr>
          <w:szCs w:val="24"/>
        </w:rPr>
        <w:t>If financial reports are to be useful, they must be issued soon enough after the reported events to affect decisions.  Timeliness alone does not make information useful, but the passage of time usually diminishes the usefulness that the information otherwise would have had.  In some instances, timeliness may be so essential that it may require sacrificing a certain amount of precision or detail.  Sometimes a timely estimate is more useful than precise information that takes a long time to produce.</w:t>
      </w:r>
    </w:p>
    <w:p w14:paraId="09FB4BD0" w14:textId="77777777" w:rsidR="00896186" w:rsidRPr="00290DC2" w:rsidRDefault="00896186">
      <w:pPr>
        <w:spacing w:before="200"/>
        <w:rPr>
          <w:szCs w:val="24"/>
        </w:rPr>
      </w:pPr>
      <w:r w:rsidRPr="00290DC2">
        <w:rPr>
          <w:szCs w:val="24"/>
        </w:rPr>
        <w:t>Timeliness is essential because:</w:t>
      </w:r>
    </w:p>
    <w:p w14:paraId="08980E3B" w14:textId="77777777" w:rsidR="0012040B" w:rsidRDefault="00896186" w:rsidP="00A977AC">
      <w:pPr>
        <w:pStyle w:val="Bullet0"/>
      </w:pPr>
      <w:r w:rsidRPr="00290DC2">
        <w:t xml:space="preserve">The State’s three bond rating agencies have made it clear that they expect to receive South Carolina’s audited financial statements within six months after the end of the fiscal year. </w:t>
      </w:r>
    </w:p>
    <w:p w14:paraId="4C66B298" w14:textId="625F86EE" w:rsidR="0012040B" w:rsidRDefault="00896186" w:rsidP="00A977AC">
      <w:pPr>
        <w:pStyle w:val="Bullet0"/>
      </w:pPr>
      <w:r w:rsidRPr="00290DC2">
        <w:t>The Certificate of Achievement for Excellence in Financial Reporting Program sponsored by the Government Finance Officers Association likewise emphasizes timeliness.  Applications for the Certificate must be postmarked no later than six months after the end of the fiscal year.  A copy of the government's published audited A</w:t>
      </w:r>
      <w:r w:rsidR="005E0E8A">
        <w:t>C</w:t>
      </w:r>
      <w:r w:rsidRPr="00290DC2">
        <w:t xml:space="preserve">FR must accompany the application.  </w:t>
      </w:r>
    </w:p>
    <w:p w14:paraId="1ADE3DCC" w14:textId="77777777" w:rsidR="00896186" w:rsidRPr="00290DC2" w:rsidRDefault="00896186" w:rsidP="00E844A5">
      <w:pPr>
        <w:pStyle w:val="Heading3"/>
      </w:pPr>
      <w:bookmarkStart w:id="98" w:name="_Toc296021433"/>
      <w:bookmarkStart w:id="99" w:name="_Toc296021520"/>
      <w:bookmarkStart w:id="100" w:name="_Toc296235412"/>
      <w:bookmarkStart w:id="101" w:name="_Toc296235513"/>
      <w:bookmarkStart w:id="102" w:name="_Toc296247797"/>
      <w:bookmarkStart w:id="103" w:name="_Toc166149230"/>
      <w:r w:rsidRPr="00290DC2">
        <w:t xml:space="preserve">The </w:t>
      </w:r>
      <w:r w:rsidR="007D0619" w:rsidRPr="00290DC2">
        <w:t xml:space="preserve">Year-End </w:t>
      </w:r>
      <w:r w:rsidRPr="00290DC2">
        <w:t>Process—Agencies</w:t>
      </w:r>
      <w:bookmarkEnd w:id="98"/>
      <w:bookmarkEnd w:id="99"/>
      <w:bookmarkEnd w:id="100"/>
      <w:bookmarkEnd w:id="101"/>
      <w:bookmarkEnd w:id="102"/>
      <w:bookmarkEnd w:id="103"/>
    </w:p>
    <w:p w14:paraId="5AF58703" w14:textId="25E5D911" w:rsidR="00896186" w:rsidRPr="00290DC2" w:rsidRDefault="00896186" w:rsidP="00E240B2">
      <w:pPr>
        <w:keepLines/>
        <w:spacing w:before="60"/>
        <w:rPr>
          <w:szCs w:val="24"/>
        </w:rPr>
      </w:pPr>
      <w:r w:rsidRPr="00290DC2">
        <w:rPr>
          <w:szCs w:val="24"/>
        </w:rPr>
        <w:t xml:space="preserve">The annual </w:t>
      </w:r>
      <w:r w:rsidR="007D0619" w:rsidRPr="00290DC2">
        <w:rPr>
          <w:szCs w:val="24"/>
        </w:rPr>
        <w:t>year-end reporting</w:t>
      </w:r>
      <w:r w:rsidRPr="00290DC2">
        <w:rPr>
          <w:szCs w:val="24"/>
        </w:rPr>
        <w:t xml:space="preserve"> process begins </w:t>
      </w:r>
      <w:r w:rsidR="007D0619" w:rsidRPr="00290DC2">
        <w:rPr>
          <w:szCs w:val="24"/>
        </w:rPr>
        <w:t xml:space="preserve">June </w:t>
      </w:r>
      <w:r w:rsidRPr="00290DC2">
        <w:rPr>
          <w:szCs w:val="24"/>
        </w:rPr>
        <w:t xml:space="preserve">30 with the end of the fiscal year.  The Comptroller General's Office publishes </w:t>
      </w:r>
      <w:r w:rsidR="00E240B2">
        <w:rPr>
          <w:szCs w:val="24"/>
        </w:rPr>
        <w:t xml:space="preserve">the </w:t>
      </w:r>
      <w:r w:rsidRPr="00290DC2">
        <w:rPr>
          <w:szCs w:val="24"/>
        </w:rPr>
        <w:t xml:space="preserve">updated </w:t>
      </w:r>
      <w:r w:rsidR="00E240B2">
        <w:rPr>
          <w:szCs w:val="24"/>
        </w:rPr>
        <w:t>Reporting Policies and Procedures Manual and the Reporting Packages</w:t>
      </w:r>
      <w:r w:rsidRPr="00290DC2">
        <w:rPr>
          <w:szCs w:val="24"/>
        </w:rPr>
        <w:t xml:space="preserve"> on its website </w:t>
      </w:r>
      <w:r w:rsidR="00801226">
        <w:rPr>
          <w:szCs w:val="24"/>
        </w:rPr>
        <w:t xml:space="preserve">prior to </w:t>
      </w:r>
      <w:r w:rsidRPr="00290DC2">
        <w:rPr>
          <w:szCs w:val="24"/>
        </w:rPr>
        <w:t xml:space="preserve">that time.  </w:t>
      </w:r>
    </w:p>
    <w:p w14:paraId="18495802" w14:textId="5D8B4C06" w:rsidR="00896186" w:rsidRPr="00290DC2" w:rsidRDefault="00896186">
      <w:pPr>
        <w:spacing w:before="200"/>
        <w:rPr>
          <w:szCs w:val="24"/>
        </w:rPr>
      </w:pPr>
      <w:r w:rsidRPr="00290DC2">
        <w:rPr>
          <w:szCs w:val="24"/>
        </w:rPr>
        <w:t xml:space="preserve">Each agency should complete only the </w:t>
      </w:r>
      <w:r w:rsidR="00C45492">
        <w:rPr>
          <w:szCs w:val="24"/>
        </w:rPr>
        <w:t>reporting package forms</w:t>
      </w:r>
      <w:r w:rsidRPr="00290DC2">
        <w:rPr>
          <w:szCs w:val="24"/>
        </w:rPr>
        <w:t xml:space="preserve"> that apply to it.  The</w:t>
      </w:r>
      <w:r w:rsidRPr="00E240B2">
        <w:rPr>
          <w:szCs w:val="24"/>
        </w:rPr>
        <w:t xml:space="preserve"> </w:t>
      </w:r>
      <w:r w:rsidR="007D0619" w:rsidRPr="00E240B2">
        <w:rPr>
          <w:iCs/>
          <w:szCs w:val="24"/>
        </w:rPr>
        <w:t xml:space="preserve">Master Reporting </w:t>
      </w:r>
      <w:r w:rsidRPr="00E240B2">
        <w:rPr>
          <w:iCs/>
          <w:szCs w:val="24"/>
        </w:rPr>
        <w:t>Package Checklist</w:t>
      </w:r>
      <w:r w:rsidRPr="00E240B2">
        <w:rPr>
          <w:szCs w:val="24"/>
        </w:rPr>
        <w:t xml:space="preserve"> will help your agency determine which of th</w:t>
      </w:r>
      <w:r w:rsidRPr="00290DC2">
        <w:rPr>
          <w:szCs w:val="24"/>
        </w:rPr>
        <w:t xml:space="preserve">e </w:t>
      </w:r>
      <w:r w:rsidR="00C45492">
        <w:rPr>
          <w:szCs w:val="24"/>
        </w:rPr>
        <w:t xml:space="preserve">reporting </w:t>
      </w:r>
      <w:r w:rsidRPr="00290DC2">
        <w:rPr>
          <w:szCs w:val="24"/>
        </w:rPr>
        <w:t xml:space="preserve">packages to complete.  (See </w:t>
      </w:r>
      <w:r w:rsidR="00290DC2">
        <w:rPr>
          <w:szCs w:val="24"/>
        </w:rPr>
        <w:t>Part</w:t>
      </w:r>
      <w:r w:rsidR="00290DC2" w:rsidRPr="00290DC2">
        <w:rPr>
          <w:szCs w:val="24"/>
        </w:rPr>
        <w:t xml:space="preserve"> </w:t>
      </w:r>
      <w:r w:rsidR="00290DC2">
        <w:rPr>
          <w:szCs w:val="24"/>
        </w:rPr>
        <w:t>II</w:t>
      </w:r>
      <w:r w:rsidRPr="00290DC2">
        <w:rPr>
          <w:szCs w:val="24"/>
        </w:rPr>
        <w:t xml:space="preserve">, </w:t>
      </w:r>
      <w:r w:rsidRPr="00E240B2">
        <w:rPr>
          <w:iCs/>
          <w:szCs w:val="24"/>
        </w:rPr>
        <w:t xml:space="preserve">Master </w:t>
      </w:r>
      <w:r w:rsidR="007D0619" w:rsidRPr="00E240B2">
        <w:rPr>
          <w:iCs/>
          <w:szCs w:val="24"/>
        </w:rPr>
        <w:t xml:space="preserve">Reporting </w:t>
      </w:r>
      <w:r w:rsidRPr="00E240B2">
        <w:rPr>
          <w:iCs/>
          <w:szCs w:val="24"/>
        </w:rPr>
        <w:t>Package</w:t>
      </w:r>
      <w:r w:rsidR="00C45492">
        <w:rPr>
          <w:szCs w:val="24"/>
        </w:rPr>
        <w:t xml:space="preserve"> Checklist</w:t>
      </w:r>
      <w:r w:rsidRPr="00290DC2">
        <w:rPr>
          <w:szCs w:val="24"/>
        </w:rPr>
        <w:t>)</w:t>
      </w:r>
      <w:r w:rsidR="00C45492">
        <w:rPr>
          <w:szCs w:val="24"/>
        </w:rPr>
        <w:t>.</w:t>
      </w:r>
    </w:p>
    <w:p w14:paraId="50C1F701" w14:textId="77777777" w:rsidR="00896186" w:rsidRPr="00290DC2" w:rsidRDefault="00896186" w:rsidP="00E844A5">
      <w:pPr>
        <w:pStyle w:val="Heading3"/>
      </w:pPr>
      <w:bookmarkStart w:id="104" w:name="_Toc296021434"/>
      <w:bookmarkStart w:id="105" w:name="_Toc296021521"/>
      <w:bookmarkStart w:id="106" w:name="_Toc296235413"/>
      <w:bookmarkStart w:id="107" w:name="_Toc296235514"/>
      <w:bookmarkStart w:id="108" w:name="_Toc296247798"/>
      <w:bookmarkStart w:id="109" w:name="_Toc166149231"/>
      <w:r w:rsidRPr="00290DC2">
        <w:lastRenderedPageBreak/>
        <w:t xml:space="preserve">The </w:t>
      </w:r>
      <w:r w:rsidR="007D0619" w:rsidRPr="00290DC2">
        <w:t xml:space="preserve">Year-end Reporting </w:t>
      </w:r>
      <w:r w:rsidRPr="00290DC2">
        <w:t>Process—Comptroller General’s Office</w:t>
      </w:r>
      <w:bookmarkEnd w:id="104"/>
      <w:bookmarkEnd w:id="105"/>
      <w:bookmarkEnd w:id="106"/>
      <w:bookmarkEnd w:id="107"/>
      <w:bookmarkEnd w:id="108"/>
      <w:bookmarkEnd w:id="109"/>
    </w:p>
    <w:p w14:paraId="3C2DB6A2" w14:textId="54470699" w:rsidR="00896186" w:rsidRPr="00290DC2" w:rsidRDefault="00896186" w:rsidP="00E240B2">
      <w:pPr>
        <w:keepNext/>
        <w:spacing w:before="60" w:after="40"/>
        <w:rPr>
          <w:szCs w:val="24"/>
        </w:rPr>
      </w:pPr>
      <w:r w:rsidRPr="00290DC2">
        <w:rPr>
          <w:szCs w:val="24"/>
        </w:rPr>
        <w:t xml:space="preserve">The Comptroller General's Office </w:t>
      </w:r>
      <w:r w:rsidR="007D0619" w:rsidRPr="00290DC2">
        <w:rPr>
          <w:szCs w:val="24"/>
        </w:rPr>
        <w:t xml:space="preserve">will use SCEIS functionality </w:t>
      </w:r>
      <w:r w:rsidRPr="00290DC2">
        <w:rPr>
          <w:szCs w:val="24"/>
        </w:rPr>
        <w:t xml:space="preserve">to compile the statewide financial statements.  </w:t>
      </w:r>
      <w:r w:rsidR="007D0619" w:rsidRPr="00290DC2">
        <w:rPr>
          <w:szCs w:val="24"/>
        </w:rPr>
        <w:t>Master Data elements and Business W</w:t>
      </w:r>
      <w:r w:rsidR="00C45492">
        <w:rPr>
          <w:szCs w:val="24"/>
        </w:rPr>
        <w:t>arehouse</w:t>
      </w:r>
      <w:r w:rsidR="007D0619" w:rsidRPr="00290DC2">
        <w:rPr>
          <w:szCs w:val="24"/>
        </w:rPr>
        <w:t xml:space="preserve"> </w:t>
      </w:r>
      <w:r w:rsidR="00C45492">
        <w:rPr>
          <w:szCs w:val="24"/>
        </w:rPr>
        <w:t>r</w:t>
      </w:r>
      <w:r w:rsidR="007D0619" w:rsidRPr="00290DC2">
        <w:rPr>
          <w:szCs w:val="24"/>
        </w:rPr>
        <w:t>eports assign classification of agency, fund, and account number balances to financi</w:t>
      </w:r>
      <w:r w:rsidR="00E240B2">
        <w:rPr>
          <w:szCs w:val="24"/>
        </w:rPr>
        <w:t xml:space="preserve">al statements and the </w:t>
      </w:r>
      <w:proofErr w:type="gramStart"/>
      <w:r w:rsidR="00E240B2">
        <w:rPr>
          <w:szCs w:val="24"/>
        </w:rPr>
        <w:t>line item</w:t>
      </w:r>
      <w:proofErr w:type="gramEnd"/>
      <w:r w:rsidR="00E240B2">
        <w:rPr>
          <w:szCs w:val="24"/>
        </w:rPr>
        <w:t xml:space="preserve"> presentation</w:t>
      </w:r>
      <w:r w:rsidR="007D0619" w:rsidRPr="00290DC2">
        <w:rPr>
          <w:szCs w:val="24"/>
        </w:rPr>
        <w:t xml:space="preserve">.  </w:t>
      </w:r>
      <w:r w:rsidRPr="00290DC2">
        <w:rPr>
          <w:szCs w:val="24"/>
        </w:rPr>
        <w:t xml:space="preserve">Beginning in July, staff members of the Financial Reporting Division of the Comptroller General's Office </w:t>
      </w:r>
      <w:r w:rsidR="00C45492">
        <w:rPr>
          <w:szCs w:val="24"/>
        </w:rPr>
        <w:t>begin preparing</w:t>
      </w:r>
      <w:r w:rsidRPr="00290DC2">
        <w:rPr>
          <w:szCs w:val="24"/>
        </w:rPr>
        <w:t xml:space="preserve"> the financial statements and the related notes.  Specifically, they</w:t>
      </w:r>
      <w:r w:rsidR="007D0619" w:rsidRPr="00290DC2">
        <w:rPr>
          <w:szCs w:val="24"/>
        </w:rPr>
        <w:t xml:space="preserve"> will</w:t>
      </w:r>
      <w:r w:rsidRPr="00290DC2">
        <w:rPr>
          <w:szCs w:val="24"/>
        </w:rPr>
        <w:t>:</w:t>
      </w:r>
    </w:p>
    <w:p w14:paraId="40C43374" w14:textId="77777777" w:rsidR="0012040B" w:rsidRDefault="007D0619" w:rsidP="00A977AC">
      <w:pPr>
        <w:pStyle w:val="Bullet0"/>
      </w:pPr>
      <w:r w:rsidRPr="00290DC2">
        <w:t>Evaluate the completeness of SCEIS</w:t>
      </w:r>
      <w:r w:rsidR="00896186" w:rsidRPr="00290DC2">
        <w:t>:</w:t>
      </w:r>
    </w:p>
    <w:p w14:paraId="41F6B15F" w14:textId="0483BE1F" w:rsidR="00896186" w:rsidRPr="00290DC2" w:rsidRDefault="00896186" w:rsidP="00E240B2">
      <w:pPr>
        <w:pStyle w:val="Bullet2"/>
        <w:spacing w:before="40" w:after="40"/>
        <w:rPr>
          <w:szCs w:val="24"/>
        </w:rPr>
      </w:pPr>
      <w:r w:rsidRPr="00290DC2">
        <w:rPr>
          <w:szCs w:val="24"/>
        </w:rPr>
        <w:t>--</w:t>
      </w:r>
      <w:r w:rsidRPr="00290DC2">
        <w:rPr>
          <w:szCs w:val="24"/>
        </w:rPr>
        <w:tab/>
        <w:t xml:space="preserve">Amounts </w:t>
      </w:r>
      <w:r w:rsidR="007D0619" w:rsidRPr="00290DC2">
        <w:rPr>
          <w:szCs w:val="24"/>
        </w:rPr>
        <w:t>included i</w:t>
      </w:r>
      <w:r w:rsidRPr="00290DC2">
        <w:rPr>
          <w:szCs w:val="24"/>
        </w:rPr>
        <w:t xml:space="preserve">n </w:t>
      </w:r>
      <w:r w:rsidR="007D0619" w:rsidRPr="00290DC2">
        <w:rPr>
          <w:szCs w:val="24"/>
        </w:rPr>
        <w:t xml:space="preserve">reporting </w:t>
      </w:r>
      <w:r w:rsidRPr="00290DC2">
        <w:rPr>
          <w:szCs w:val="24"/>
        </w:rPr>
        <w:t>packages.</w:t>
      </w:r>
      <w:r w:rsidR="00964B47">
        <w:rPr>
          <w:szCs w:val="24"/>
        </w:rPr>
        <w:t xml:space="preserve">  Analysis is performed to identify if amounts reported on reporting packages are recorded in SCEIS and what should be reported in the A</w:t>
      </w:r>
      <w:r w:rsidR="005E0E8A">
        <w:rPr>
          <w:szCs w:val="24"/>
        </w:rPr>
        <w:t>C</w:t>
      </w:r>
      <w:r w:rsidR="00964B47">
        <w:rPr>
          <w:szCs w:val="24"/>
        </w:rPr>
        <w:t>FR.</w:t>
      </w:r>
      <w:r w:rsidR="00C45492">
        <w:rPr>
          <w:szCs w:val="24"/>
        </w:rPr>
        <w:t xml:space="preserve"> </w:t>
      </w:r>
      <w:r w:rsidR="00964B47">
        <w:rPr>
          <w:szCs w:val="24"/>
        </w:rPr>
        <w:t>Assistance from agency personnel will be required to ensure accurate communication of these amounts to the Comptroller General's Office staff.</w:t>
      </w:r>
    </w:p>
    <w:p w14:paraId="2FFF6740" w14:textId="77777777" w:rsidR="00896186" w:rsidRPr="00290DC2" w:rsidRDefault="00896186" w:rsidP="00E240B2">
      <w:pPr>
        <w:pStyle w:val="Bullet2"/>
        <w:spacing w:before="40" w:after="40"/>
        <w:rPr>
          <w:szCs w:val="24"/>
        </w:rPr>
      </w:pPr>
      <w:r w:rsidRPr="00290DC2">
        <w:rPr>
          <w:szCs w:val="24"/>
        </w:rPr>
        <w:t>--</w:t>
      </w:r>
      <w:r w:rsidRPr="00290DC2">
        <w:rPr>
          <w:szCs w:val="24"/>
        </w:rPr>
        <w:tab/>
        <w:t>Agency financial statement amounts (for universities, colleges, and certain other agencies).</w:t>
      </w:r>
    </w:p>
    <w:p w14:paraId="7428BEA4" w14:textId="743F9C66" w:rsidR="00896186" w:rsidRPr="00290DC2" w:rsidRDefault="00896186" w:rsidP="00E240B2">
      <w:pPr>
        <w:pStyle w:val="Bullet2"/>
        <w:spacing w:before="40" w:after="40"/>
        <w:rPr>
          <w:szCs w:val="24"/>
        </w:rPr>
      </w:pPr>
      <w:r w:rsidRPr="00290DC2">
        <w:rPr>
          <w:szCs w:val="24"/>
        </w:rPr>
        <w:t>--</w:t>
      </w:r>
      <w:r w:rsidRPr="00290DC2">
        <w:rPr>
          <w:szCs w:val="24"/>
        </w:rPr>
        <w:tab/>
        <w:t xml:space="preserve">Other </w:t>
      </w:r>
      <w:r w:rsidR="007D0619" w:rsidRPr="00290DC2">
        <w:rPr>
          <w:szCs w:val="24"/>
        </w:rPr>
        <w:t>activity of agencies not currently live in SCEIS</w:t>
      </w:r>
      <w:r w:rsidR="00C45492">
        <w:rPr>
          <w:szCs w:val="24"/>
        </w:rPr>
        <w:t>.</w:t>
      </w:r>
    </w:p>
    <w:p w14:paraId="5A2682DA" w14:textId="43A7A0E2" w:rsidR="0012040B" w:rsidRDefault="007D0619" w:rsidP="00A977AC">
      <w:pPr>
        <w:pStyle w:val="Bullet0"/>
      </w:pPr>
      <w:r w:rsidRPr="00290DC2">
        <w:t xml:space="preserve">Identify and </w:t>
      </w:r>
      <w:r w:rsidR="00C45492">
        <w:t>p</w:t>
      </w:r>
      <w:r w:rsidR="00896186" w:rsidRPr="00290DC2">
        <w:t xml:space="preserve">ost </w:t>
      </w:r>
      <w:r w:rsidRPr="00290DC2">
        <w:t>entries necessary for GAAP compliance in SCEIS</w:t>
      </w:r>
      <w:r w:rsidR="00896186" w:rsidRPr="00290DC2">
        <w:t>.</w:t>
      </w:r>
    </w:p>
    <w:p w14:paraId="1276C6FB" w14:textId="77777777" w:rsidR="0012040B" w:rsidRDefault="007D0619" w:rsidP="00A977AC">
      <w:pPr>
        <w:pStyle w:val="Bullet0"/>
      </w:pPr>
      <w:r w:rsidRPr="00290DC2">
        <w:t xml:space="preserve">Identify and post eliminating entries for possible duplication in the consolidation of </w:t>
      </w:r>
      <w:r w:rsidR="00E240B2">
        <w:t xml:space="preserve">accounting </w:t>
      </w:r>
      <w:r w:rsidRPr="00290DC2">
        <w:t xml:space="preserve">funds to reporting funds.  </w:t>
      </w:r>
    </w:p>
    <w:p w14:paraId="71BC403B" w14:textId="14AD916E" w:rsidR="0012040B" w:rsidRDefault="00896186" w:rsidP="00A977AC">
      <w:pPr>
        <w:pStyle w:val="Bullet0"/>
      </w:pPr>
      <w:r w:rsidRPr="00290DC2">
        <w:t>Draft notes to the financial statements, management’s discussion and analysis, and other required narrative for the A</w:t>
      </w:r>
      <w:r w:rsidR="005E0E8A">
        <w:t>C</w:t>
      </w:r>
      <w:r w:rsidRPr="00290DC2">
        <w:t>FR.</w:t>
      </w:r>
    </w:p>
    <w:p w14:paraId="5DF90859" w14:textId="5C35E1A1" w:rsidR="0012040B" w:rsidRPr="00BE4524" w:rsidRDefault="00896186" w:rsidP="00A977AC">
      <w:pPr>
        <w:pStyle w:val="Bullet0"/>
      </w:pPr>
      <w:r w:rsidRPr="00BE4524">
        <w:t>Update A</w:t>
      </w:r>
      <w:r w:rsidR="005E0E8A">
        <w:t>C</w:t>
      </w:r>
      <w:r w:rsidRPr="00BE4524">
        <w:t>FR statistical tables with current</w:t>
      </w:r>
      <w:r w:rsidR="007D0619" w:rsidRPr="00BE4524">
        <w:t>-</w:t>
      </w:r>
      <w:r w:rsidRPr="00BE4524">
        <w:t>year data.</w:t>
      </w:r>
    </w:p>
    <w:p w14:paraId="35C23458" w14:textId="03D20361" w:rsidR="0012040B" w:rsidRDefault="00896186" w:rsidP="00A977AC">
      <w:pPr>
        <w:pStyle w:val="Bullet0"/>
      </w:pPr>
      <w:r w:rsidRPr="00290DC2">
        <w:t>Prepare the A</w:t>
      </w:r>
      <w:r w:rsidR="005E0E8A">
        <w:t>C</w:t>
      </w:r>
      <w:r w:rsidRPr="00290DC2">
        <w:t>FR for printing.</w:t>
      </w:r>
    </w:p>
    <w:p w14:paraId="765EF107" w14:textId="69034E61" w:rsidR="00880B93" w:rsidRPr="00290DC2" w:rsidRDefault="00896186" w:rsidP="00E844A5">
      <w:pPr>
        <w:pStyle w:val="Heading3"/>
      </w:pPr>
      <w:bookmarkStart w:id="110" w:name="_Toc296021435"/>
      <w:bookmarkStart w:id="111" w:name="_Toc296021522"/>
      <w:bookmarkStart w:id="112" w:name="_Toc296235414"/>
      <w:bookmarkStart w:id="113" w:name="_Toc296235515"/>
      <w:bookmarkStart w:id="114" w:name="_Toc296247799"/>
      <w:bookmarkStart w:id="115" w:name="_Toc166149232"/>
      <w:r w:rsidRPr="00290DC2">
        <w:t>Audit of the State’s A</w:t>
      </w:r>
      <w:r w:rsidR="005E0E8A">
        <w:t>C</w:t>
      </w:r>
      <w:r w:rsidRPr="00290DC2">
        <w:t>FR</w:t>
      </w:r>
      <w:bookmarkEnd w:id="110"/>
      <w:bookmarkEnd w:id="111"/>
      <w:bookmarkEnd w:id="112"/>
      <w:bookmarkEnd w:id="113"/>
      <w:bookmarkEnd w:id="114"/>
      <w:bookmarkEnd w:id="115"/>
    </w:p>
    <w:p w14:paraId="33518A50" w14:textId="0D13257F" w:rsidR="00896186" w:rsidRPr="00290DC2" w:rsidRDefault="00896186" w:rsidP="007D0619">
      <w:pPr>
        <w:spacing w:before="60"/>
        <w:rPr>
          <w:szCs w:val="24"/>
        </w:rPr>
      </w:pPr>
      <w:r w:rsidRPr="00290DC2">
        <w:rPr>
          <w:szCs w:val="24"/>
        </w:rPr>
        <w:t>Meanwhile, the audit of the A</w:t>
      </w:r>
      <w:r w:rsidR="005E0E8A">
        <w:rPr>
          <w:szCs w:val="24"/>
        </w:rPr>
        <w:t>C</w:t>
      </w:r>
      <w:r w:rsidRPr="00290DC2">
        <w:rPr>
          <w:szCs w:val="24"/>
        </w:rPr>
        <w:t>FR is in pro</w:t>
      </w:r>
      <w:r w:rsidR="00E240B2">
        <w:rPr>
          <w:szCs w:val="24"/>
        </w:rPr>
        <w:t>c</w:t>
      </w:r>
      <w:r w:rsidRPr="00290DC2">
        <w:rPr>
          <w:szCs w:val="24"/>
        </w:rPr>
        <w:t>ess.  The auditors of the State's A</w:t>
      </w:r>
      <w:r w:rsidR="005E0E8A">
        <w:rPr>
          <w:szCs w:val="24"/>
        </w:rPr>
        <w:t>C</w:t>
      </w:r>
      <w:r w:rsidRPr="00290DC2">
        <w:rPr>
          <w:szCs w:val="24"/>
        </w:rPr>
        <w:t xml:space="preserve">FR perform some of their work based on a review of data and procedures within the Comptroller General's Office.  They also review </w:t>
      </w:r>
      <w:r w:rsidR="007D0619" w:rsidRPr="00290DC2">
        <w:rPr>
          <w:szCs w:val="24"/>
        </w:rPr>
        <w:t xml:space="preserve">reporting </w:t>
      </w:r>
      <w:r w:rsidR="00E240B2">
        <w:rPr>
          <w:szCs w:val="24"/>
        </w:rPr>
        <w:t>packages</w:t>
      </w:r>
      <w:r w:rsidRPr="00290DC2">
        <w:rPr>
          <w:szCs w:val="24"/>
        </w:rPr>
        <w:t xml:space="preserve"> and the supporting working papers that State agencies prepare.  Agencies are responsible for maintaining working papers to support data on </w:t>
      </w:r>
      <w:r w:rsidR="007D0619" w:rsidRPr="00290DC2">
        <w:rPr>
          <w:szCs w:val="24"/>
        </w:rPr>
        <w:t xml:space="preserve">reporting </w:t>
      </w:r>
      <w:r w:rsidRPr="00290DC2">
        <w:rPr>
          <w:szCs w:val="24"/>
        </w:rPr>
        <w:t xml:space="preserve">package forms. </w:t>
      </w:r>
    </w:p>
    <w:p w14:paraId="5A33E0C6" w14:textId="77777777" w:rsidR="0012040B" w:rsidRDefault="00290DC2" w:rsidP="003B02BA">
      <w:pPr>
        <w:pStyle w:val="Heading2"/>
      </w:pPr>
      <w:bookmarkStart w:id="116" w:name="_Toc296021437"/>
      <w:bookmarkStart w:id="117" w:name="_Toc296021524"/>
      <w:bookmarkStart w:id="118" w:name="_Toc296235416"/>
      <w:bookmarkStart w:id="119" w:name="_Toc296235517"/>
      <w:bookmarkStart w:id="120" w:name="_Toc296247801"/>
      <w:bookmarkStart w:id="121" w:name="_Toc166149233"/>
      <w:r>
        <w:t xml:space="preserve">Section </w:t>
      </w:r>
      <w:r w:rsidR="009B555D">
        <w:t>1</w:t>
      </w:r>
      <w:r w:rsidR="00896186" w:rsidRPr="00290DC2">
        <w:t>.7 SUMMARY OF AGENCY RESPONSIBILITIES</w:t>
      </w:r>
      <w:bookmarkEnd w:id="116"/>
      <w:bookmarkEnd w:id="117"/>
      <w:bookmarkEnd w:id="118"/>
      <w:bookmarkEnd w:id="119"/>
      <w:bookmarkEnd w:id="120"/>
      <w:bookmarkEnd w:id="121"/>
    </w:p>
    <w:p w14:paraId="1342F13C" w14:textId="77777777" w:rsidR="00896186" w:rsidRPr="00290DC2" w:rsidRDefault="00896186" w:rsidP="00E844A5">
      <w:pPr>
        <w:pStyle w:val="Heading3"/>
      </w:pPr>
      <w:bookmarkStart w:id="122" w:name="_Toc296021438"/>
      <w:bookmarkStart w:id="123" w:name="_Toc296021525"/>
      <w:bookmarkStart w:id="124" w:name="_Toc296235417"/>
      <w:bookmarkStart w:id="125" w:name="_Toc296235518"/>
      <w:bookmarkStart w:id="126" w:name="_Toc296247802"/>
      <w:bookmarkStart w:id="127" w:name="_Toc166149234"/>
      <w:r w:rsidRPr="00290DC2">
        <w:t>General Responsibilities</w:t>
      </w:r>
      <w:bookmarkEnd w:id="122"/>
      <w:bookmarkEnd w:id="123"/>
      <w:bookmarkEnd w:id="124"/>
      <w:bookmarkEnd w:id="125"/>
      <w:bookmarkEnd w:id="126"/>
      <w:bookmarkEnd w:id="127"/>
    </w:p>
    <w:p w14:paraId="0A2D5474" w14:textId="0E1932A7" w:rsidR="00FC1134" w:rsidRDefault="00FC1134" w:rsidP="00E240B2">
      <w:pPr>
        <w:keepNext/>
        <w:spacing w:before="60" w:after="60"/>
        <w:rPr>
          <w:szCs w:val="24"/>
        </w:rPr>
      </w:pPr>
      <w:r>
        <w:rPr>
          <w:szCs w:val="24"/>
        </w:rPr>
        <w:t xml:space="preserve">Each agency is responsible for designing and implementing internal controls for the accurate </w:t>
      </w:r>
      <w:r w:rsidR="00556906">
        <w:rPr>
          <w:szCs w:val="24"/>
        </w:rPr>
        <w:t xml:space="preserve">reporting of agency assets, liabilities, fund </w:t>
      </w:r>
      <w:r w:rsidR="00332A3B">
        <w:rPr>
          <w:szCs w:val="24"/>
        </w:rPr>
        <w:t xml:space="preserve">classification </w:t>
      </w:r>
      <w:r w:rsidR="00556906">
        <w:rPr>
          <w:szCs w:val="24"/>
        </w:rPr>
        <w:t xml:space="preserve">or net assets, revenue, and expenditures as required by the </w:t>
      </w:r>
      <w:r w:rsidR="00C45492">
        <w:rPr>
          <w:szCs w:val="24"/>
        </w:rPr>
        <w:t xml:space="preserve">Comptroller General’s Office </w:t>
      </w:r>
      <w:r w:rsidR="00556906">
        <w:rPr>
          <w:szCs w:val="24"/>
        </w:rPr>
        <w:t>Reporting Policies and Procedures Manual.</w:t>
      </w:r>
    </w:p>
    <w:p w14:paraId="080DAED3" w14:textId="77777777" w:rsidR="00896186" w:rsidRPr="00290DC2" w:rsidRDefault="00896186" w:rsidP="00E240B2">
      <w:pPr>
        <w:keepNext/>
        <w:spacing w:before="60" w:after="60"/>
        <w:rPr>
          <w:szCs w:val="24"/>
        </w:rPr>
      </w:pPr>
      <w:r w:rsidRPr="00290DC2">
        <w:rPr>
          <w:szCs w:val="24"/>
        </w:rPr>
        <w:t xml:space="preserve">Each agency's executive director and finance director are responsible for submitting to the Comptroller General's Office </w:t>
      </w:r>
      <w:r w:rsidR="008A234F" w:rsidRPr="00290DC2">
        <w:rPr>
          <w:szCs w:val="24"/>
        </w:rPr>
        <w:t xml:space="preserve">reporting </w:t>
      </w:r>
      <w:r w:rsidR="00E240B2">
        <w:rPr>
          <w:szCs w:val="24"/>
        </w:rPr>
        <w:t>package</w:t>
      </w:r>
      <w:r w:rsidRPr="00290DC2">
        <w:rPr>
          <w:szCs w:val="24"/>
        </w:rPr>
        <w:t>s and/or financial statements that are:</w:t>
      </w:r>
    </w:p>
    <w:p w14:paraId="0FF88F79" w14:textId="77777777" w:rsidR="0012040B" w:rsidRDefault="00896186" w:rsidP="00A977AC">
      <w:pPr>
        <w:pStyle w:val="Bullet0"/>
      </w:pPr>
      <w:r w:rsidRPr="00290DC2">
        <w:t>Accurate and prepared in accordance with instructions.</w:t>
      </w:r>
    </w:p>
    <w:p w14:paraId="4DA4DEFC" w14:textId="77777777" w:rsidR="0012040B" w:rsidRDefault="00896186" w:rsidP="00A977AC">
      <w:pPr>
        <w:pStyle w:val="Bullet0"/>
      </w:pPr>
      <w:r w:rsidRPr="00290DC2">
        <w:t>Complete.</w:t>
      </w:r>
    </w:p>
    <w:p w14:paraId="490B5512" w14:textId="77777777" w:rsidR="0012040B" w:rsidRDefault="00896186" w:rsidP="00A977AC">
      <w:pPr>
        <w:pStyle w:val="Bullet0"/>
      </w:pPr>
      <w:r w:rsidRPr="00290DC2">
        <w:t xml:space="preserve">Timely.  </w:t>
      </w:r>
    </w:p>
    <w:p w14:paraId="52CB601D" w14:textId="2B6222E1" w:rsidR="00914D43" w:rsidRDefault="00B617B0">
      <w:pPr>
        <w:spacing w:before="40"/>
        <w:rPr>
          <w:szCs w:val="24"/>
        </w:rPr>
      </w:pPr>
      <w:r>
        <w:rPr>
          <w:szCs w:val="24"/>
        </w:rPr>
        <w:t>T</w:t>
      </w:r>
      <w:r w:rsidR="00896186" w:rsidRPr="00290DC2">
        <w:rPr>
          <w:szCs w:val="24"/>
        </w:rPr>
        <w:t>he</w:t>
      </w:r>
      <w:r w:rsidR="00896186" w:rsidRPr="00E240B2">
        <w:rPr>
          <w:szCs w:val="24"/>
        </w:rPr>
        <w:t xml:space="preserve"> </w:t>
      </w:r>
      <w:r w:rsidR="00287481">
        <w:rPr>
          <w:szCs w:val="24"/>
        </w:rPr>
        <w:t xml:space="preserve">signature </w:t>
      </w:r>
      <w:r w:rsidR="00C45492">
        <w:rPr>
          <w:szCs w:val="24"/>
        </w:rPr>
        <w:t>page</w:t>
      </w:r>
      <w:r w:rsidR="00287481">
        <w:rPr>
          <w:szCs w:val="24"/>
        </w:rPr>
        <w:t xml:space="preserve"> for each </w:t>
      </w:r>
      <w:r w:rsidR="00C45492">
        <w:rPr>
          <w:szCs w:val="24"/>
        </w:rPr>
        <w:t>reporting package</w:t>
      </w:r>
      <w:r w:rsidR="00287481">
        <w:rPr>
          <w:szCs w:val="24"/>
        </w:rPr>
        <w:t xml:space="preserve"> throughout the year</w:t>
      </w:r>
      <w:r w:rsidR="00F678F7">
        <w:rPr>
          <w:szCs w:val="24"/>
        </w:rPr>
        <w:t>-</w:t>
      </w:r>
      <w:r w:rsidR="00287481">
        <w:rPr>
          <w:szCs w:val="24"/>
        </w:rPr>
        <w:t xml:space="preserve">end process </w:t>
      </w:r>
      <w:r>
        <w:rPr>
          <w:szCs w:val="24"/>
        </w:rPr>
        <w:t xml:space="preserve">should be signed by </w:t>
      </w:r>
      <w:r w:rsidR="00896186" w:rsidRPr="00290DC2">
        <w:rPr>
          <w:szCs w:val="24"/>
        </w:rPr>
        <w:t>the agency's Finance Director</w:t>
      </w:r>
      <w:r w:rsidR="00C45492">
        <w:rPr>
          <w:szCs w:val="24"/>
        </w:rPr>
        <w:t>,</w:t>
      </w:r>
      <w:r w:rsidR="00896186" w:rsidRPr="00290DC2">
        <w:rPr>
          <w:szCs w:val="24"/>
        </w:rPr>
        <w:t xml:space="preserve"> Executive Director</w:t>
      </w:r>
      <w:r w:rsidR="00C45492">
        <w:rPr>
          <w:szCs w:val="24"/>
        </w:rPr>
        <w:t xml:space="preserve">, or equivalent </w:t>
      </w:r>
      <w:r>
        <w:rPr>
          <w:szCs w:val="24"/>
        </w:rPr>
        <w:t xml:space="preserve">to provide communication of the assertion </w:t>
      </w:r>
      <w:r>
        <w:rPr>
          <w:szCs w:val="24"/>
        </w:rPr>
        <w:lastRenderedPageBreak/>
        <w:t xml:space="preserve">from the </w:t>
      </w:r>
      <w:r w:rsidR="00C45492">
        <w:rPr>
          <w:szCs w:val="24"/>
        </w:rPr>
        <w:t>a</w:t>
      </w:r>
      <w:r>
        <w:rPr>
          <w:szCs w:val="24"/>
        </w:rPr>
        <w:t>gency that the information is accurate and complete</w:t>
      </w:r>
      <w:r w:rsidR="00896186" w:rsidRPr="00290DC2">
        <w:rPr>
          <w:szCs w:val="24"/>
        </w:rPr>
        <w:t xml:space="preserve">.  The person signing </w:t>
      </w:r>
      <w:r w:rsidR="00287481">
        <w:rPr>
          <w:szCs w:val="24"/>
        </w:rPr>
        <w:t xml:space="preserve">the signature </w:t>
      </w:r>
      <w:r w:rsidR="00C45492">
        <w:rPr>
          <w:szCs w:val="24"/>
        </w:rPr>
        <w:t xml:space="preserve">page </w:t>
      </w:r>
      <w:r w:rsidR="00896186" w:rsidRPr="00290DC2">
        <w:rPr>
          <w:szCs w:val="24"/>
        </w:rPr>
        <w:t xml:space="preserve">must be someone different from the person who prepared the form.  </w:t>
      </w:r>
    </w:p>
    <w:p w14:paraId="5F332ACD" w14:textId="77777777" w:rsidR="00896186" w:rsidRPr="00290DC2" w:rsidRDefault="00896186" w:rsidP="00556906">
      <w:pPr>
        <w:pStyle w:val="Heading3"/>
      </w:pPr>
      <w:bookmarkStart w:id="128" w:name="_Toc296021439"/>
      <w:bookmarkStart w:id="129" w:name="_Toc296021526"/>
      <w:bookmarkStart w:id="130" w:name="_Toc296235418"/>
      <w:bookmarkStart w:id="131" w:name="_Toc296235519"/>
      <w:bookmarkStart w:id="132" w:name="_Toc296247803"/>
      <w:bookmarkStart w:id="133" w:name="_Toc166149235"/>
      <w:r w:rsidRPr="00290DC2">
        <w:t xml:space="preserve">Objective:  Error-Free </w:t>
      </w:r>
      <w:r w:rsidR="008A234F" w:rsidRPr="00290DC2">
        <w:t xml:space="preserve">Reporting </w:t>
      </w:r>
      <w:r w:rsidRPr="00290DC2">
        <w:t>Packages</w:t>
      </w:r>
      <w:bookmarkEnd w:id="128"/>
      <w:bookmarkEnd w:id="129"/>
      <w:bookmarkEnd w:id="130"/>
      <w:bookmarkEnd w:id="131"/>
      <w:bookmarkEnd w:id="132"/>
      <w:bookmarkEnd w:id="133"/>
    </w:p>
    <w:p w14:paraId="48FDD463" w14:textId="77777777" w:rsidR="00896186" w:rsidRPr="00290DC2" w:rsidRDefault="00896186" w:rsidP="008A234F">
      <w:pPr>
        <w:spacing w:before="60"/>
        <w:rPr>
          <w:szCs w:val="24"/>
        </w:rPr>
      </w:pPr>
      <w:r w:rsidRPr="00290DC2">
        <w:rPr>
          <w:szCs w:val="24"/>
        </w:rPr>
        <w:t xml:space="preserve">The accuracy of </w:t>
      </w:r>
      <w:r w:rsidR="008A234F" w:rsidRPr="00290DC2">
        <w:rPr>
          <w:szCs w:val="24"/>
        </w:rPr>
        <w:t xml:space="preserve">reporting </w:t>
      </w:r>
      <w:r w:rsidRPr="00290DC2">
        <w:rPr>
          <w:szCs w:val="24"/>
        </w:rPr>
        <w:t>package data is extremely important.  Large errors jeopardize the accuracy of the State's financial statements.  The existence of even “small” errors cast</w:t>
      </w:r>
      <w:r w:rsidR="00964B47">
        <w:rPr>
          <w:szCs w:val="24"/>
        </w:rPr>
        <w:t>s</w:t>
      </w:r>
      <w:r w:rsidRPr="00290DC2">
        <w:rPr>
          <w:szCs w:val="24"/>
        </w:rPr>
        <w:t xml:space="preserve"> </w:t>
      </w:r>
      <w:proofErr w:type="gramStart"/>
      <w:r w:rsidRPr="00290DC2">
        <w:rPr>
          <w:szCs w:val="24"/>
        </w:rPr>
        <w:t>doubt</w:t>
      </w:r>
      <w:proofErr w:type="gramEnd"/>
      <w:r w:rsidRPr="00290DC2">
        <w:rPr>
          <w:szCs w:val="24"/>
        </w:rPr>
        <w:t xml:space="preserve"> on the </w:t>
      </w:r>
      <w:r w:rsidR="008A234F" w:rsidRPr="00290DC2">
        <w:rPr>
          <w:szCs w:val="24"/>
        </w:rPr>
        <w:t xml:space="preserve">ability of the </w:t>
      </w:r>
      <w:r w:rsidRPr="00290DC2">
        <w:rPr>
          <w:szCs w:val="24"/>
        </w:rPr>
        <w:t>State</w:t>
      </w:r>
      <w:r w:rsidR="008A234F" w:rsidRPr="00290DC2">
        <w:rPr>
          <w:szCs w:val="24"/>
        </w:rPr>
        <w:t>’s</w:t>
      </w:r>
      <w:r w:rsidRPr="00290DC2">
        <w:rPr>
          <w:szCs w:val="24"/>
        </w:rPr>
        <w:t xml:space="preserve"> internal control</w:t>
      </w:r>
      <w:r w:rsidR="008A234F" w:rsidRPr="00290DC2">
        <w:rPr>
          <w:szCs w:val="24"/>
        </w:rPr>
        <w:t>s</w:t>
      </w:r>
      <w:r w:rsidRPr="00290DC2">
        <w:rPr>
          <w:szCs w:val="24"/>
        </w:rPr>
        <w:t xml:space="preserve"> to detect and correct errors.  </w:t>
      </w:r>
    </w:p>
    <w:p w14:paraId="4CC9B29B" w14:textId="77777777" w:rsidR="00896186" w:rsidRPr="00290DC2" w:rsidRDefault="00896186">
      <w:pPr>
        <w:rPr>
          <w:szCs w:val="24"/>
        </w:rPr>
      </w:pPr>
      <w:r w:rsidRPr="00290DC2">
        <w:rPr>
          <w:bCs/>
          <w:szCs w:val="24"/>
        </w:rPr>
        <w:t>We a</w:t>
      </w:r>
      <w:r w:rsidRPr="00290DC2">
        <w:rPr>
          <w:szCs w:val="24"/>
        </w:rPr>
        <w:t xml:space="preserve">ll must work together to implement procedures that keep </w:t>
      </w:r>
      <w:r w:rsidR="008A234F" w:rsidRPr="00290DC2">
        <w:rPr>
          <w:szCs w:val="24"/>
        </w:rPr>
        <w:t xml:space="preserve">reporting </w:t>
      </w:r>
      <w:r w:rsidRPr="00290DC2">
        <w:rPr>
          <w:szCs w:val="24"/>
        </w:rPr>
        <w:t xml:space="preserve">package errors to an absolute minimum.  </w:t>
      </w:r>
      <w:r w:rsidR="008A234F" w:rsidRPr="00290DC2">
        <w:rPr>
          <w:szCs w:val="24"/>
        </w:rPr>
        <w:t>A</w:t>
      </w:r>
      <w:r w:rsidRPr="00290DC2">
        <w:rPr>
          <w:szCs w:val="24"/>
        </w:rPr>
        <w:t>dequate internal control</w:t>
      </w:r>
      <w:r w:rsidR="008A234F" w:rsidRPr="00290DC2">
        <w:rPr>
          <w:szCs w:val="24"/>
        </w:rPr>
        <w:t>s</w:t>
      </w:r>
      <w:r w:rsidRPr="00290DC2">
        <w:rPr>
          <w:szCs w:val="24"/>
        </w:rPr>
        <w:t xml:space="preserve"> include safeguards to ensure that </w:t>
      </w:r>
      <w:r w:rsidRPr="00290DC2">
        <w:rPr>
          <w:i/>
          <w:szCs w:val="24"/>
        </w:rPr>
        <w:t>your agency</w:t>
      </w:r>
      <w:r w:rsidRPr="00290DC2">
        <w:rPr>
          <w:szCs w:val="24"/>
        </w:rPr>
        <w:t xml:space="preserve"> detects and corrects its own </w:t>
      </w:r>
      <w:r w:rsidR="008A234F" w:rsidRPr="00290DC2">
        <w:rPr>
          <w:szCs w:val="24"/>
        </w:rPr>
        <w:t>reporting</w:t>
      </w:r>
      <w:r w:rsidRPr="00290DC2">
        <w:rPr>
          <w:szCs w:val="24"/>
        </w:rPr>
        <w:t xml:space="preserve"> package errors.  Whenever the Comptroller General's Office or auditors detect errors, it means that your agency's internal control</w:t>
      </w:r>
      <w:r w:rsidR="008A234F" w:rsidRPr="00290DC2">
        <w:rPr>
          <w:szCs w:val="24"/>
        </w:rPr>
        <w:t>s</w:t>
      </w:r>
      <w:r w:rsidRPr="00290DC2">
        <w:rPr>
          <w:szCs w:val="24"/>
        </w:rPr>
        <w:t xml:space="preserve"> </w:t>
      </w:r>
      <w:r w:rsidR="00B617B0">
        <w:rPr>
          <w:szCs w:val="24"/>
        </w:rPr>
        <w:t>have failed and should be improved.</w:t>
      </w:r>
      <w:r w:rsidRPr="00290DC2">
        <w:rPr>
          <w:szCs w:val="24"/>
        </w:rPr>
        <w:t xml:space="preserve">  </w:t>
      </w:r>
    </w:p>
    <w:p w14:paraId="70D5B993" w14:textId="77777777" w:rsidR="00896186" w:rsidRPr="00290DC2" w:rsidRDefault="00896186">
      <w:pPr>
        <w:spacing w:before="180"/>
        <w:rPr>
          <w:szCs w:val="24"/>
        </w:rPr>
      </w:pPr>
      <w:r w:rsidRPr="00290DC2">
        <w:rPr>
          <w:szCs w:val="24"/>
        </w:rPr>
        <w:t xml:space="preserve">Taking the time to initially prepare accurate and complete </w:t>
      </w:r>
      <w:r w:rsidR="008A234F" w:rsidRPr="00290DC2">
        <w:rPr>
          <w:szCs w:val="24"/>
        </w:rPr>
        <w:t>reporting</w:t>
      </w:r>
      <w:r w:rsidRPr="00290DC2">
        <w:rPr>
          <w:szCs w:val="24"/>
        </w:rPr>
        <w:t xml:space="preserve"> packages also can yield other direct benefits to you.  For example, it can save you from the extra time needed to:</w:t>
      </w:r>
    </w:p>
    <w:p w14:paraId="523D315D" w14:textId="77777777" w:rsidR="0012040B" w:rsidRDefault="00896186" w:rsidP="00A977AC">
      <w:pPr>
        <w:pStyle w:val="Bullet0"/>
      </w:pPr>
      <w:r w:rsidRPr="00290DC2">
        <w:t xml:space="preserve">Prepare and submit corrected </w:t>
      </w:r>
      <w:r w:rsidR="008A234F" w:rsidRPr="00290DC2">
        <w:t xml:space="preserve">reporting </w:t>
      </w:r>
      <w:r w:rsidRPr="00290DC2">
        <w:t>packages.</w:t>
      </w:r>
    </w:p>
    <w:p w14:paraId="109BAB75" w14:textId="77777777" w:rsidR="0054099E" w:rsidRDefault="0054099E" w:rsidP="00A977AC">
      <w:pPr>
        <w:pStyle w:val="Bullet0"/>
      </w:pPr>
      <w:r>
        <w:t>Promptly respond to inquiries and requests for information by the auditors.</w:t>
      </w:r>
    </w:p>
    <w:p w14:paraId="3F0D65D8" w14:textId="77777777" w:rsidR="0012040B" w:rsidRDefault="00896186" w:rsidP="00A977AC">
      <w:pPr>
        <w:pStyle w:val="Bullet0"/>
      </w:pPr>
      <w:r w:rsidRPr="00290DC2">
        <w:t>Respond to auditor management letter comments.</w:t>
      </w:r>
    </w:p>
    <w:p w14:paraId="0008EE1B" w14:textId="77777777" w:rsidR="00914D43" w:rsidRDefault="00896186">
      <w:pPr>
        <w:keepNext/>
        <w:spacing w:before="180" w:after="60"/>
        <w:rPr>
          <w:szCs w:val="24"/>
        </w:rPr>
      </w:pPr>
      <w:r w:rsidRPr="00290DC2">
        <w:rPr>
          <w:szCs w:val="24"/>
        </w:rPr>
        <w:t xml:space="preserve">The following are some practical suggestions for minimizing </w:t>
      </w:r>
      <w:r w:rsidR="008A234F" w:rsidRPr="00290DC2">
        <w:rPr>
          <w:szCs w:val="24"/>
        </w:rPr>
        <w:t xml:space="preserve">reporting </w:t>
      </w:r>
      <w:r w:rsidRPr="00290DC2">
        <w:rPr>
          <w:szCs w:val="24"/>
        </w:rPr>
        <w:t>package errors:</w:t>
      </w:r>
    </w:p>
    <w:p w14:paraId="71A34517" w14:textId="77777777" w:rsidR="0012040B" w:rsidRDefault="00896186" w:rsidP="00A977AC">
      <w:pPr>
        <w:pStyle w:val="Bullet0"/>
      </w:pPr>
      <w:r w:rsidRPr="00290DC2">
        <w:t xml:space="preserve">Assign the right people to prepare and review </w:t>
      </w:r>
      <w:r w:rsidR="008A234F" w:rsidRPr="00290DC2">
        <w:t xml:space="preserve">reporting </w:t>
      </w:r>
      <w:r w:rsidRPr="00290DC2">
        <w:t xml:space="preserve">packages and give them everything they need to do a good job.  Agency employees assigned to complete </w:t>
      </w:r>
      <w:r w:rsidR="008A234F" w:rsidRPr="00290DC2">
        <w:t xml:space="preserve">reporting </w:t>
      </w:r>
      <w:r w:rsidRPr="00290DC2">
        <w:t>packages should:</w:t>
      </w:r>
    </w:p>
    <w:p w14:paraId="1F9E87E8" w14:textId="77777777" w:rsidR="00914D43" w:rsidRDefault="00896186">
      <w:pPr>
        <w:pStyle w:val="Bullet2"/>
        <w:spacing w:before="60" w:after="40"/>
        <w:rPr>
          <w:szCs w:val="24"/>
        </w:rPr>
      </w:pPr>
      <w:r w:rsidRPr="00290DC2">
        <w:rPr>
          <w:szCs w:val="24"/>
        </w:rPr>
        <w:t>--</w:t>
      </w:r>
      <w:r w:rsidRPr="00290DC2">
        <w:rPr>
          <w:szCs w:val="24"/>
        </w:rPr>
        <w:tab/>
        <w:t xml:space="preserve">Be thoroughly familiar with the agency </w:t>
      </w:r>
      <w:r w:rsidR="008A234F" w:rsidRPr="00290DC2">
        <w:rPr>
          <w:szCs w:val="24"/>
        </w:rPr>
        <w:t>transactions, activity, and balances</w:t>
      </w:r>
      <w:r w:rsidRPr="00290DC2">
        <w:rPr>
          <w:szCs w:val="24"/>
        </w:rPr>
        <w:t xml:space="preserve"> required to be reported on the </w:t>
      </w:r>
      <w:r w:rsidR="008A234F" w:rsidRPr="00290DC2">
        <w:rPr>
          <w:szCs w:val="24"/>
        </w:rPr>
        <w:t xml:space="preserve">reporting </w:t>
      </w:r>
      <w:r w:rsidRPr="00290DC2">
        <w:rPr>
          <w:szCs w:val="24"/>
        </w:rPr>
        <w:t>package.</w:t>
      </w:r>
    </w:p>
    <w:p w14:paraId="1FD09CD6" w14:textId="42A9A1BE" w:rsidR="00914D43" w:rsidRDefault="00896186">
      <w:pPr>
        <w:pStyle w:val="Bullet2"/>
        <w:spacing w:before="60" w:after="40"/>
        <w:rPr>
          <w:szCs w:val="24"/>
        </w:rPr>
      </w:pPr>
      <w:r w:rsidRPr="00290DC2">
        <w:rPr>
          <w:szCs w:val="24"/>
        </w:rPr>
        <w:t>--</w:t>
      </w:r>
      <w:r w:rsidRPr="00290DC2">
        <w:rPr>
          <w:szCs w:val="24"/>
        </w:rPr>
        <w:tab/>
        <w:t xml:space="preserve">Have </w:t>
      </w:r>
      <w:r w:rsidR="00C45492">
        <w:rPr>
          <w:szCs w:val="24"/>
        </w:rPr>
        <w:t>i</w:t>
      </w:r>
      <w:r w:rsidRPr="00290DC2">
        <w:rPr>
          <w:szCs w:val="24"/>
        </w:rPr>
        <w:t>nternet access and instructions on how to locate the current-year versions of the forms and instructions.</w:t>
      </w:r>
    </w:p>
    <w:p w14:paraId="211D7125" w14:textId="77777777" w:rsidR="00914D43" w:rsidRDefault="00896186">
      <w:pPr>
        <w:pStyle w:val="Bullet2"/>
        <w:spacing w:before="60" w:after="40"/>
        <w:rPr>
          <w:szCs w:val="24"/>
        </w:rPr>
      </w:pPr>
      <w:r w:rsidRPr="00290DC2">
        <w:rPr>
          <w:szCs w:val="24"/>
        </w:rPr>
        <w:t>--</w:t>
      </w:r>
      <w:r w:rsidRPr="00290DC2">
        <w:rPr>
          <w:szCs w:val="24"/>
        </w:rPr>
        <w:tab/>
        <w:t>Have access to copies of the completed packages from previous years and any other data or materials from the agency’s accounting systems that will be needed to complete the packages.</w:t>
      </w:r>
    </w:p>
    <w:p w14:paraId="350A5FF4" w14:textId="3B576CE0" w:rsidR="00287481" w:rsidRDefault="00896186" w:rsidP="007173DD">
      <w:pPr>
        <w:pStyle w:val="Bullet2"/>
        <w:spacing w:before="60" w:after="40"/>
        <w:rPr>
          <w:szCs w:val="24"/>
        </w:rPr>
      </w:pPr>
      <w:r w:rsidRPr="00290DC2">
        <w:rPr>
          <w:szCs w:val="24"/>
        </w:rPr>
        <w:t>--</w:t>
      </w:r>
      <w:r w:rsidRPr="00290DC2">
        <w:rPr>
          <w:szCs w:val="24"/>
        </w:rPr>
        <w:tab/>
        <w:t xml:space="preserve">Take full advantage of the Comptroller General's </w:t>
      </w:r>
      <w:r w:rsidR="008A234F" w:rsidRPr="00290DC2">
        <w:rPr>
          <w:szCs w:val="24"/>
        </w:rPr>
        <w:t xml:space="preserve">reporting </w:t>
      </w:r>
      <w:r w:rsidRPr="00290DC2">
        <w:rPr>
          <w:szCs w:val="24"/>
        </w:rPr>
        <w:t xml:space="preserve">package training (see </w:t>
      </w:r>
      <w:r w:rsidR="008A234F" w:rsidRPr="00290DC2">
        <w:rPr>
          <w:szCs w:val="24"/>
        </w:rPr>
        <w:t xml:space="preserve">Section </w:t>
      </w:r>
      <w:r w:rsidRPr="00290DC2">
        <w:rPr>
          <w:szCs w:val="24"/>
        </w:rPr>
        <w:t xml:space="preserve">1.4, </w:t>
      </w:r>
      <w:r w:rsidRPr="00A01BAE">
        <w:rPr>
          <w:iCs/>
          <w:szCs w:val="24"/>
        </w:rPr>
        <w:t>Agency Training</w:t>
      </w:r>
      <w:r w:rsidRPr="00290DC2">
        <w:rPr>
          <w:szCs w:val="24"/>
        </w:rPr>
        <w:t>).</w:t>
      </w:r>
    </w:p>
    <w:p w14:paraId="6A0FE17D" w14:textId="77777777" w:rsidR="00914D43" w:rsidRDefault="00896186">
      <w:pPr>
        <w:pStyle w:val="Bullet2"/>
        <w:spacing w:before="60" w:after="40"/>
        <w:rPr>
          <w:szCs w:val="24"/>
        </w:rPr>
      </w:pPr>
      <w:r w:rsidRPr="00290DC2">
        <w:rPr>
          <w:szCs w:val="24"/>
        </w:rPr>
        <w:t>--</w:t>
      </w:r>
      <w:r w:rsidRPr="00290DC2">
        <w:rPr>
          <w:szCs w:val="24"/>
        </w:rPr>
        <w:tab/>
        <w:t>Completely understand their assignments.</w:t>
      </w:r>
    </w:p>
    <w:p w14:paraId="7E4A798C" w14:textId="77777777" w:rsidR="00914D43" w:rsidRDefault="00896186">
      <w:pPr>
        <w:pStyle w:val="Bullet2"/>
        <w:spacing w:before="60" w:after="40"/>
        <w:rPr>
          <w:szCs w:val="24"/>
        </w:rPr>
      </w:pPr>
      <w:r w:rsidRPr="00290DC2">
        <w:rPr>
          <w:szCs w:val="24"/>
        </w:rPr>
        <w:t>--</w:t>
      </w:r>
      <w:r w:rsidRPr="00290DC2">
        <w:rPr>
          <w:szCs w:val="24"/>
        </w:rPr>
        <w:tab/>
        <w:t>Be given adequate time to properly complete their assignments.</w:t>
      </w:r>
    </w:p>
    <w:p w14:paraId="0A25DF0E" w14:textId="77777777" w:rsidR="0012040B" w:rsidRDefault="00896186" w:rsidP="00A977AC">
      <w:pPr>
        <w:pStyle w:val="Bullet0"/>
      </w:pPr>
      <w:r w:rsidRPr="00290DC2">
        <w:t xml:space="preserve">Perform an effective review of each completed </w:t>
      </w:r>
      <w:r w:rsidR="008A234F" w:rsidRPr="00290DC2">
        <w:t xml:space="preserve">reporting </w:t>
      </w:r>
      <w:r w:rsidRPr="00290DC2">
        <w:t xml:space="preserve">package and the underlying working papers.  A </w:t>
      </w:r>
      <w:r w:rsidRPr="00290DC2">
        <w:rPr>
          <w:i/>
          <w:iCs/>
          <w:u w:val="single"/>
        </w:rPr>
        <w:t>supervisory</w:t>
      </w:r>
      <w:r w:rsidRPr="00290DC2">
        <w:t xml:space="preserve"> employee should perform a review that includes the following steps:</w:t>
      </w:r>
    </w:p>
    <w:p w14:paraId="69EAE4D7" w14:textId="77777777" w:rsidR="00914D43" w:rsidRDefault="00896186">
      <w:pPr>
        <w:pStyle w:val="Bullet2"/>
        <w:spacing w:before="60" w:after="40"/>
        <w:rPr>
          <w:szCs w:val="24"/>
        </w:rPr>
      </w:pPr>
      <w:r w:rsidRPr="00290DC2">
        <w:rPr>
          <w:szCs w:val="24"/>
        </w:rPr>
        <w:t>--</w:t>
      </w:r>
      <w:r w:rsidRPr="00290DC2">
        <w:rPr>
          <w:szCs w:val="24"/>
        </w:rPr>
        <w:tab/>
        <w:t xml:space="preserve">Gain a thorough understanding of the </w:t>
      </w:r>
      <w:r w:rsidR="00964B47">
        <w:rPr>
          <w:szCs w:val="24"/>
        </w:rPr>
        <w:t xml:space="preserve">concepts and policies relating to the </w:t>
      </w:r>
      <w:r w:rsidR="008A234F" w:rsidRPr="00290DC2">
        <w:rPr>
          <w:szCs w:val="24"/>
        </w:rPr>
        <w:t xml:space="preserve">reporting </w:t>
      </w:r>
      <w:r w:rsidRPr="00290DC2">
        <w:rPr>
          <w:szCs w:val="24"/>
        </w:rPr>
        <w:t>package in the appropriate section of this manual.</w:t>
      </w:r>
    </w:p>
    <w:p w14:paraId="7359F441" w14:textId="77777777" w:rsidR="00914D43" w:rsidRDefault="00896186">
      <w:pPr>
        <w:pStyle w:val="Bullet2"/>
        <w:spacing w:before="60" w:after="40"/>
        <w:rPr>
          <w:szCs w:val="24"/>
        </w:rPr>
      </w:pPr>
      <w:r w:rsidRPr="00290DC2">
        <w:rPr>
          <w:szCs w:val="24"/>
        </w:rPr>
        <w:t>--</w:t>
      </w:r>
      <w:r w:rsidRPr="00290DC2">
        <w:rPr>
          <w:szCs w:val="24"/>
        </w:rPr>
        <w:tab/>
        <w:t>Complete the reviewer's checklist in accordance with the instructions provided.</w:t>
      </w:r>
    </w:p>
    <w:p w14:paraId="5CFC4DE2" w14:textId="77777777" w:rsidR="00914D43" w:rsidRDefault="00896186">
      <w:pPr>
        <w:pStyle w:val="Bullet2"/>
        <w:spacing w:before="60" w:after="40"/>
        <w:rPr>
          <w:szCs w:val="24"/>
        </w:rPr>
      </w:pPr>
      <w:r w:rsidRPr="00290DC2">
        <w:rPr>
          <w:szCs w:val="24"/>
        </w:rPr>
        <w:t>--</w:t>
      </w:r>
      <w:r w:rsidRPr="00290DC2">
        <w:rPr>
          <w:szCs w:val="24"/>
        </w:rPr>
        <w:tab/>
        <w:t xml:space="preserve">Thoroughly review the methodology used in compiling </w:t>
      </w:r>
      <w:r w:rsidR="008A234F" w:rsidRPr="00290DC2">
        <w:rPr>
          <w:szCs w:val="24"/>
        </w:rPr>
        <w:t xml:space="preserve">reporting </w:t>
      </w:r>
      <w:r w:rsidRPr="00290DC2">
        <w:rPr>
          <w:szCs w:val="24"/>
        </w:rPr>
        <w:t>package data.  For example, the reviewer should answer the following questions:</w:t>
      </w:r>
    </w:p>
    <w:p w14:paraId="5644C312" w14:textId="77777777" w:rsidR="00914D43" w:rsidRDefault="00896186">
      <w:pPr>
        <w:pStyle w:val="Bullet3"/>
        <w:spacing w:before="60" w:after="20"/>
        <w:rPr>
          <w:szCs w:val="24"/>
        </w:rPr>
      </w:pPr>
      <w:r w:rsidRPr="00290DC2">
        <w:rPr>
          <w:szCs w:val="24"/>
        </w:rPr>
        <w:t>*</w:t>
      </w:r>
      <w:r w:rsidRPr="00290DC2">
        <w:rPr>
          <w:szCs w:val="24"/>
        </w:rPr>
        <w:tab/>
        <w:t xml:space="preserve">Has the </w:t>
      </w:r>
      <w:r w:rsidR="008A234F" w:rsidRPr="00290DC2">
        <w:rPr>
          <w:szCs w:val="24"/>
        </w:rPr>
        <w:t xml:space="preserve">reporting </w:t>
      </w:r>
      <w:r w:rsidRPr="00290DC2">
        <w:rPr>
          <w:szCs w:val="24"/>
        </w:rPr>
        <w:t xml:space="preserve">package data been derived from the </w:t>
      </w:r>
      <w:r w:rsidRPr="00290DC2">
        <w:rPr>
          <w:i/>
          <w:iCs/>
          <w:szCs w:val="24"/>
          <w:u w:val="single"/>
        </w:rPr>
        <w:t>best</w:t>
      </w:r>
      <w:r w:rsidRPr="00290DC2">
        <w:rPr>
          <w:szCs w:val="24"/>
        </w:rPr>
        <w:t xml:space="preserve"> available agency source?</w:t>
      </w:r>
    </w:p>
    <w:p w14:paraId="26FC7FED" w14:textId="77777777" w:rsidR="00914D43" w:rsidRDefault="00896186">
      <w:pPr>
        <w:pStyle w:val="Bullet3"/>
        <w:spacing w:before="60" w:after="20"/>
        <w:rPr>
          <w:szCs w:val="24"/>
        </w:rPr>
      </w:pPr>
      <w:r w:rsidRPr="00290DC2">
        <w:rPr>
          <w:szCs w:val="24"/>
        </w:rPr>
        <w:lastRenderedPageBreak/>
        <w:t>*</w:t>
      </w:r>
      <w:r w:rsidRPr="00290DC2">
        <w:rPr>
          <w:szCs w:val="24"/>
        </w:rPr>
        <w:tab/>
        <w:t xml:space="preserve">Has every appropriate amount been reported?  (Is the </w:t>
      </w:r>
      <w:r w:rsidR="008A234F" w:rsidRPr="00290DC2">
        <w:rPr>
          <w:szCs w:val="24"/>
        </w:rPr>
        <w:t xml:space="preserve">reporting </w:t>
      </w:r>
      <w:r w:rsidRPr="00290DC2">
        <w:rPr>
          <w:szCs w:val="24"/>
        </w:rPr>
        <w:t>package form complete?)</w:t>
      </w:r>
    </w:p>
    <w:p w14:paraId="3FC480A3" w14:textId="77777777" w:rsidR="00914D43" w:rsidRDefault="00896186">
      <w:pPr>
        <w:pStyle w:val="Bullet3"/>
        <w:spacing w:before="60" w:after="20"/>
        <w:rPr>
          <w:szCs w:val="24"/>
        </w:rPr>
      </w:pPr>
      <w:r w:rsidRPr="00290DC2">
        <w:rPr>
          <w:szCs w:val="24"/>
        </w:rPr>
        <w:t>*</w:t>
      </w:r>
      <w:r w:rsidRPr="00290DC2">
        <w:rPr>
          <w:szCs w:val="24"/>
        </w:rPr>
        <w:tab/>
        <w:t>Has any amount been reported inappropriately?</w:t>
      </w:r>
    </w:p>
    <w:p w14:paraId="7087C960" w14:textId="77777777" w:rsidR="00914D43" w:rsidRDefault="00896186">
      <w:pPr>
        <w:pStyle w:val="Bullet3"/>
        <w:spacing w:before="60" w:after="20"/>
        <w:rPr>
          <w:szCs w:val="24"/>
        </w:rPr>
      </w:pPr>
      <w:r w:rsidRPr="00290DC2">
        <w:rPr>
          <w:szCs w:val="24"/>
        </w:rPr>
        <w:t>*</w:t>
      </w:r>
      <w:r w:rsidRPr="00290DC2">
        <w:rPr>
          <w:szCs w:val="24"/>
        </w:rPr>
        <w:tab/>
        <w:t>Is the methodology based on any assumptions?  If so, are the assumptions necessary and reasonable and fully documented?</w:t>
      </w:r>
    </w:p>
    <w:p w14:paraId="244551C0" w14:textId="3E627FA7" w:rsidR="00896186" w:rsidRPr="00290DC2" w:rsidRDefault="00896186" w:rsidP="0041613C">
      <w:pPr>
        <w:pStyle w:val="Bullet3"/>
        <w:spacing w:before="60"/>
        <w:rPr>
          <w:szCs w:val="24"/>
        </w:rPr>
      </w:pPr>
      <w:r w:rsidRPr="00290DC2">
        <w:rPr>
          <w:szCs w:val="24"/>
        </w:rPr>
        <w:t>*</w:t>
      </w:r>
      <w:r w:rsidRPr="00290DC2">
        <w:rPr>
          <w:szCs w:val="24"/>
        </w:rPr>
        <w:tab/>
        <w:t xml:space="preserve">Do the working papers adequately explain how the information was compiled?  (Could a knowledgeable accountant or auditor reconstruct the </w:t>
      </w:r>
      <w:r w:rsidR="008A234F" w:rsidRPr="00290DC2">
        <w:rPr>
          <w:szCs w:val="24"/>
        </w:rPr>
        <w:t xml:space="preserve">reporting </w:t>
      </w:r>
      <w:r w:rsidRPr="00290DC2">
        <w:rPr>
          <w:szCs w:val="24"/>
        </w:rPr>
        <w:t xml:space="preserve">package data without verbal explanations if given access to agency accounting records, working papers, and the </w:t>
      </w:r>
      <w:r w:rsidR="008A234F" w:rsidRPr="00290DC2">
        <w:rPr>
          <w:szCs w:val="24"/>
        </w:rPr>
        <w:t xml:space="preserve">reporting </w:t>
      </w:r>
      <w:r w:rsidRPr="00290DC2">
        <w:rPr>
          <w:szCs w:val="24"/>
        </w:rPr>
        <w:t xml:space="preserve">package instructions?)  Preparation and maintenance of working papers is a primary responsibility of each agency.  </w:t>
      </w:r>
    </w:p>
    <w:p w14:paraId="125DFF8E" w14:textId="77777777" w:rsidR="00914D43" w:rsidRDefault="00896186">
      <w:pPr>
        <w:pStyle w:val="Bullet2"/>
        <w:spacing w:before="60" w:after="40"/>
        <w:rPr>
          <w:szCs w:val="24"/>
        </w:rPr>
      </w:pPr>
      <w:r w:rsidRPr="00290DC2">
        <w:rPr>
          <w:szCs w:val="24"/>
        </w:rPr>
        <w:t>--</w:t>
      </w:r>
      <w:r w:rsidRPr="00290DC2">
        <w:rPr>
          <w:szCs w:val="24"/>
        </w:rPr>
        <w:tab/>
      </w:r>
      <w:r w:rsidR="008A234F" w:rsidRPr="00290DC2">
        <w:rPr>
          <w:szCs w:val="24"/>
        </w:rPr>
        <w:t xml:space="preserve">Examine the prior year package amounts in comparison with amounts reported for the current year to gain and understanding of </w:t>
      </w:r>
      <w:r w:rsidRPr="00290DC2">
        <w:rPr>
          <w:szCs w:val="24"/>
        </w:rPr>
        <w:t>any significant variances.  Determine whether there are logical reasons for these variances.</w:t>
      </w:r>
      <w:r w:rsidR="008A234F" w:rsidRPr="00290DC2">
        <w:rPr>
          <w:szCs w:val="24"/>
        </w:rPr>
        <w:t xml:space="preserve">  Document the evaluation of the variances.</w:t>
      </w:r>
    </w:p>
    <w:p w14:paraId="3B21A508" w14:textId="77777777" w:rsidR="00914D43" w:rsidRDefault="00896186">
      <w:pPr>
        <w:pStyle w:val="Bullet2"/>
        <w:spacing w:before="60" w:after="40"/>
        <w:rPr>
          <w:szCs w:val="24"/>
        </w:rPr>
      </w:pPr>
      <w:r w:rsidRPr="00290DC2">
        <w:rPr>
          <w:szCs w:val="24"/>
        </w:rPr>
        <w:t>--</w:t>
      </w:r>
      <w:r w:rsidRPr="00290DC2">
        <w:rPr>
          <w:szCs w:val="24"/>
        </w:rPr>
        <w:tab/>
        <w:t xml:space="preserve">Verify that key relationships between </w:t>
      </w:r>
      <w:r w:rsidR="008A234F" w:rsidRPr="00290DC2">
        <w:rPr>
          <w:szCs w:val="24"/>
        </w:rPr>
        <w:t xml:space="preserve">reporting </w:t>
      </w:r>
      <w:r w:rsidRPr="00290DC2">
        <w:rPr>
          <w:szCs w:val="24"/>
        </w:rPr>
        <w:t xml:space="preserve">packages are maintained.  For example, if certain equipment purchases represent accounts payable </w:t>
      </w:r>
      <w:proofErr w:type="gramStart"/>
      <w:r w:rsidRPr="00290DC2">
        <w:rPr>
          <w:szCs w:val="24"/>
        </w:rPr>
        <w:t>at</w:t>
      </w:r>
      <w:proofErr w:type="gramEnd"/>
      <w:r w:rsidRPr="00290DC2">
        <w:rPr>
          <w:szCs w:val="24"/>
        </w:rPr>
        <w:t xml:space="preserve"> </w:t>
      </w:r>
      <w:r w:rsidR="008A234F" w:rsidRPr="00290DC2">
        <w:rPr>
          <w:szCs w:val="24"/>
        </w:rPr>
        <w:t xml:space="preserve">June </w:t>
      </w:r>
      <w:r w:rsidRPr="00290DC2">
        <w:rPr>
          <w:szCs w:val="24"/>
        </w:rPr>
        <w:t>30, do</w:t>
      </w:r>
      <w:r w:rsidR="008A234F" w:rsidRPr="00290DC2">
        <w:rPr>
          <w:szCs w:val="24"/>
        </w:rPr>
        <w:t>es</w:t>
      </w:r>
      <w:r w:rsidRPr="00290DC2">
        <w:rPr>
          <w:szCs w:val="24"/>
        </w:rPr>
        <w:t xml:space="preserve"> your capital assets </w:t>
      </w:r>
      <w:r w:rsidR="008A234F" w:rsidRPr="00290DC2">
        <w:rPr>
          <w:szCs w:val="24"/>
        </w:rPr>
        <w:t xml:space="preserve">reporting </w:t>
      </w:r>
      <w:r w:rsidRPr="00290DC2">
        <w:rPr>
          <w:szCs w:val="24"/>
        </w:rPr>
        <w:t xml:space="preserve">package properly report the related capital assets?  (This is especially important in large agencies where several agency staff members prepare different </w:t>
      </w:r>
      <w:r w:rsidR="008A234F" w:rsidRPr="00290DC2">
        <w:rPr>
          <w:szCs w:val="24"/>
        </w:rPr>
        <w:t xml:space="preserve">reporting </w:t>
      </w:r>
      <w:r w:rsidRPr="00290DC2">
        <w:rPr>
          <w:szCs w:val="24"/>
        </w:rPr>
        <w:t>packages.)</w:t>
      </w:r>
    </w:p>
    <w:p w14:paraId="14C4F176" w14:textId="77777777" w:rsidR="00914D43" w:rsidRDefault="00896186">
      <w:pPr>
        <w:pStyle w:val="Bullet2"/>
        <w:spacing w:before="60" w:after="40"/>
        <w:rPr>
          <w:szCs w:val="24"/>
        </w:rPr>
      </w:pPr>
      <w:r w:rsidRPr="00290DC2">
        <w:rPr>
          <w:szCs w:val="24"/>
        </w:rPr>
        <w:t>--</w:t>
      </w:r>
      <w:r w:rsidRPr="00290DC2">
        <w:rPr>
          <w:szCs w:val="24"/>
        </w:rPr>
        <w:tab/>
        <w:t xml:space="preserve">Trace all amounts from the appropriate agency accounting records or other original sources to the working papers and finally to the </w:t>
      </w:r>
      <w:r w:rsidR="008A234F" w:rsidRPr="00290DC2">
        <w:rPr>
          <w:szCs w:val="24"/>
        </w:rPr>
        <w:t xml:space="preserve">reporting </w:t>
      </w:r>
      <w:r w:rsidRPr="00290DC2">
        <w:rPr>
          <w:szCs w:val="24"/>
        </w:rPr>
        <w:t>package itself.</w:t>
      </w:r>
    </w:p>
    <w:p w14:paraId="626FEF44" w14:textId="77777777" w:rsidR="00914D43" w:rsidRDefault="00896186">
      <w:pPr>
        <w:pStyle w:val="Bullet2"/>
        <w:spacing w:before="60" w:after="40"/>
        <w:rPr>
          <w:szCs w:val="24"/>
        </w:rPr>
      </w:pPr>
      <w:r w:rsidRPr="00290DC2">
        <w:rPr>
          <w:szCs w:val="24"/>
        </w:rPr>
        <w:t>--</w:t>
      </w:r>
      <w:r w:rsidRPr="00290DC2">
        <w:rPr>
          <w:szCs w:val="24"/>
        </w:rPr>
        <w:tab/>
        <w:t xml:space="preserve">Repeat arithmetic computations in working papers and on the </w:t>
      </w:r>
      <w:r w:rsidR="0041613C" w:rsidRPr="00290DC2">
        <w:rPr>
          <w:szCs w:val="24"/>
        </w:rPr>
        <w:t>reporting</w:t>
      </w:r>
      <w:r w:rsidRPr="00290DC2">
        <w:rPr>
          <w:szCs w:val="24"/>
        </w:rPr>
        <w:t xml:space="preserve"> package itself to identify any arithmetic errors.</w:t>
      </w:r>
    </w:p>
    <w:p w14:paraId="7B3AF4C4" w14:textId="506A13C8" w:rsidR="00287481" w:rsidRDefault="00896186" w:rsidP="00A977AC">
      <w:pPr>
        <w:pStyle w:val="Bullet0"/>
      </w:pPr>
      <w:r w:rsidRPr="00290DC2">
        <w:t xml:space="preserve">The person who performs the review and signs the </w:t>
      </w:r>
      <w:r w:rsidR="00287481">
        <w:t xml:space="preserve">signature </w:t>
      </w:r>
      <w:r w:rsidR="00805B5D">
        <w:t>page</w:t>
      </w:r>
      <w:r w:rsidR="00287481">
        <w:t xml:space="preserve"> must</w:t>
      </w:r>
      <w:r w:rsidRPr="00290DC2">
        <w:t xml:space="preserve"> be someone different from the person who prepared the </w:t>
      </w:r>
      <w:r w:rsidR="00805B5D">
        <w:t>reporting package</w:t>
      </w:r>
      <w:r w:rsidRPr="00290DC2">
        <w:t xml:space="preserve"> under review.  </w:t>
      </w:r>
    </w:p>
    <w:p w14:paraId="1FCD0714" w14:textId="77777777" w:rsidR="0012040B" w:rsidRDefault="00896186" w:rsidP="00A977AC">
      <w:pPr>
        <w:pStyle w:val="Bullet0"/>
      </w:pPr>
      <w:r w:rsidRPr="00287481">
        <w:rPr>
          <w:bCs/>
        </w:rPr>
        <w:t>Learn from your errors.  Wh</w:t>
      </w:r>
      <w:r w:rsidRPr="00290DC2">
        <w:t>en you (or someone else within your agency) discover errors, ask yourself whether the discovery was accidental or the result of good internal controls.  If accidental, ask yourself what</w:t>
      </w:r>
      <w:r w:rsidRPr="00E240B2">
        <w:t xml:space="preserve"> additional </w:t>
      </w:r>
      <w:r w:rsidRPr="00290DC2">
        <w:t>internal controls you could implement to help prevent similar errors in the future.  Then implement these controls.</w:t>
      </w:r>
    </w:p>
    <w:p w14:paraId="1795581E" w14:textId="77777777" w:rsidR="0012040B" w:rsidRDefault="00896186" w:rsidP="00A977AC">
      <w:pPr>
        <w:pStyle w:val="Bullet0"/>
      </w:pPr>
      <w:r w:rsidRPr="00290DC2">
        <w:rPr>
          <w:bCs/>
        </w:rPr>
        <w:t xml:space="preserve">Take auditor recommendations seriously.  </w:t>
      </w:r>
      <w:r w:rsidR="0041613C" w:rsidRPr="00290DC2">
        <w:rPr>
          <w:bCs/>
        </w:rPr>
        <w:t>Reporting</w:t>
      </w:r>
      <w:r w:rsidR="0041613C" w:rsidRPr="00290DC2">
        <w:t xml:space="preserve"> </w:t>
      </w:r>
      <w:r w:rsidRPr="00290DC2">
        <w:t>packages are only as accurate as the agency accounting systems from which the source information is derived.  It is important, therefore, for agencies to implement auditor suggestions for improving these systems.</w:t>
      </w:r>
    </w:p>
    <w:p w14:paraId="5762462C" w14:textId="77777777" w:rsidR="00880B93" w:rsidRPr="00290DC2" w:rsidRDefault="00896186" w:rsidP="00E844A5">
      <w:pPr>
        <w:pStyle w:val="Heading3"/>
      </w:pPr>
      <w:bookmarkStart w:id="134" w:name="_Toc296021440"/>
      <w:bookmarkStart w:id="135" w:name="_Toc296021527"/>
      <w:bookmarkStart w:id="136" w:name="_Toc296235419"/>
      <w:bookmarkStart w:id="137" w:name="_Toc296235520"/>
      <w:bookmarkStart w:id="138" w:name="_Toc296247804"/>
      <w:bookmarkStart w:id="139" w:name="_Toc166149236"/>
      <w:r w:rsidRPr="00290DC2">
        <w:t>Objective</w:t>
      </w:r>
      <w:r w:rsidR="0041613C" w:rsidRPr="00290DC2">
        <w:t xml:space="preserve">:  </w:t>
      </w:r>
      <w:r w:rsidRPr="00290DC2">
        <w:t xml:space="preserve">No Late </w:t>
      </w:r>
      <w:r w:rsidR="0041613C" w:rsidRPr="00290DC2">
        <w:t xml:space="preserve">Reporting </w:t>
      </w:r>
      <w:r w:rsidRPr="00290DC2">
        <w:t>Packages</w:t>
      </w:r>
      <w:bookmarkEnd w:id="134"/>
      <w:bookmarkEnd w:id="135"/>
      <w:bookmarkEnd w:id="136"/>
      <w:bookmarkEnd w:id="137"/>
      <w:bookmarkEnd w:id="138"/>
      <w:bookmarkEnd w:id="139"/>
    </w:p>
    <w:p w14:paraId="702AE690" w14:textId="1C4D35A5" w:rsidR="00896186" w:rsidRPr="00290DC2" w:rsidRDefault="0041613C" w:rsidP="00E15657">
      <w:pPr>
        <w:spacing w:before="60" w:after="0" w:line="280" w:lineRule="exact"/>
        <w:rPr>
          <w:szCs w:val="24"/>
        </w:rPr>
      </w:pPr>
      <w:r w:rsidRPr="00290DC2">
        <w:rPr>
          <w:szCs w:val="24"/>
        </w:rPr>
        <w:t xml:space="preserve">Section </w:t>
      </w:r>
      <w:r w:rsidR="00896186" w:rsidRPr="00290DC2">
        <w:rPr>
          <w:szCs w:val="24"/>
        </w:rPr>
        <w:t xml:space="preserve">1.5 of this manual includes a list of </w:t>
      </w:r>
      <w:r w:rsidRPr="00290DC2">
        <w:rPr>
          <w:szCs w:val="24"/>
        </w:rPr>
        <w:t>reporting</w:t>
      </w:r>
      <w:r w:rsidR="00896186" w:rsidRPr="00290DC2">
        <w:rPr>
          <w:szCs w:val="24"/>
        </w:rPr>
        <w:t xml:space="preserve"> package due dates.  If an emergency will prevent your agency from submitting data by the required date, please </w:t>
      </w:r>
      <w:r w:rsidR="00CD0831">
        <w:rPr>
          <w:szCs w:val="24"/>
        </w:rPr>
        <w:t>email A</w:t>
      </w:r>
      <w:r w:rsidR="005E0E8A">
        <w:rPr>
          <w:szCs w:val="24"/>
        </w:rPr>
        <w:t>C</w:t>
      </w:r>
      <w:r w:rsidR="00CD0831">
        <w:rPr>
          <w:szCs w:val="24"/>
        </w:rPr>
        <w:t>FR@cg.sc.gov</w:t>
      </w:r>
      <w:r w:rsidR="00896186" w:rsidRPr="00290DC2">
        <w:rPr>
          <w:szCs w:val="24"/>
        </w:rPr>
        <w:t xml:space="preserve"> as soon as possible.  The Comptroller General's Office staff, however, cannot grant "extensions" of these deadline</w:t>
      </w:r>
      <w:r w:rsidR="00CD0831">
        <w:rPr>
          <w:szCs w:val="24"/>
        </w:rPr>
        <w:t xml:space="preserve">s, unless a statewide disaster has </w:t>
      </w:r>
      <w:proofErr w:type="gramStart"/>
      <w:r w:rsidR="00CD0831">
        <w:rPr>
          <w:szCs w:val="24"/>
        </w:rPr>
        <w:t>occurred</w:t>
      </w:r>
      <w:proofErr w:type="gramEnd"/>
      <w:r w:rsidR="00CD0831">
        <w:rPr>
          <w:szCs w:val="24"/>
        </w:rPr>
        <w:t xml:space="preserve"> and the state has been closed for an extended period of time.  The extension will not result in the due date being delayed by the same numbers of days the state may have been closed.</w:t>
      </w:r>
      <w:r w:rsidR="0054099E">
        <w:rPr>
          <w:szCs w:val="24"/>
        </w:rPr>
        <w:t xml:space="preserve"> </w:t>
      </w:r>
    </w:p>
    <w:p w14:paraId="38DC27B0" w14:textId="0C91AFB8" w:rsidR="00914D43" w:rsidRDefault="00896186">
      <w:pPr>
        <w:spacing w:after="0" w:line="280" w:lineRule="exact"/>
        <w:rPr>
          <w:szCs w:val="24"/>
        </w:rPr>
      </w:pPr>
      <w:r w:rsidRPr="00290DC2">
        <w:rPr>
          <w:szCs w:val="24"/>
        </w:rPr>
        <w:t>In accordance with guidelines published by national bond</w:t>
      </w:r>
      <w:r w:rsidR="0041613C" w:rsidRPr="00290DC2">
        <w:rPr>
          <w:szCs w:val="24"/>
        </w:rPr>
        <w:t>-</w:t>
      </w:r>
      <w:r w:rsidRPr="00290DC2">
        <w:rPr>
          <w:szCs w:val="24"/>
        </w:rPr>
        <w:t xml:space="preserve">rating organizations and the Government Finance Officers' Association, the State's policy is to issue its </w:t>
      </w:r>
      <w:r w:rsidR="005E0E8A">
        <w:rPr>
          <w:szCs w:val="24"/>
        </w:rPr>
        <w:t xml:space="preserve">Annual </w:t>
      </w:r>
      <w:r w:rsidRPr="00290DC2">
        <w:rPr>
          <w:szCs w:val="24"/>
        </w:rPr>
        <w:t>Comprehensive Financial Report (A</w:t>
      </w:r>
      <w:r w:rsidR="005E0E8A">
        <w:rPr>
          <w:szCs w:val="24"/>
        </w:rPr>
        <w:t>C</w:t>
      </w:r>
      <w:r w:rsidRPr="00290DC2">
        <w:rPr>
          <w:szCs w:val="24"/>
        </w:rPr>
        <w:t xml:space="preserve">FR) to </w:t>
      </w:r>
      <w:r w:rsidRPr="00290DC2">
        <w:rPr>
          <w:szCs w:val="24"/>
        </w:rPr>
        <w:lastRenderedPageBreak/>
        <w:t>the public no later than six months after the end of the fiscal year.  Such timely publication of the A</w:t>
      </w:r>
      <w:r w:rsidR="005E0E8A">
        <w:rPr>
          <w:szCs w:val="24"/>
        </w:rPr>
        <w:t>C</w:t>
      </w:r>
      <w:r w:rsidRPr="00290DC2">
        <w:rPr>
          <w:szCs w:val="24"/>
        </w:rPr>
        <w:t>FR cannot be assured if some packages are not received by the stated deadlines.</w:t>
      </w:r>
    </w:p>
    <w:p w14:paraId="70EB4AB3" w14:textId="77777777" w:rsidR="00914D43" w:rsidRDefault="00556906">
      <w:pPr>
        <w:pStyle w:val="Heading3"/>
        <w:spacing w:before="240"/>
      </w:pPr>
      <w:bookmarkStart w:id="140" w:name="_Toc166149237"/>
      <w:r w:rsidRPr="00290DC2">
        <w:t xml:space="preserve">Objective:  </w:t>
      </w:r>
      <w:r w:rsidR="00E15657">
        <w:t>Responsive and Efficient Audit Process</w:t>
      </w:r>
      <w:bookmarkEnd w:id="140"/>
    </w:p>
    <w:p w14:paraId="0D9DA4F9" w14:textId="742948A0" w:rsidR="00914D43" w:rsidRDefault="00E15657">
      <w:pPr>
        <w:pStyle w:val="NormalIndent"/>
        <w:ind w:left="0"/>
      </w:pPr>
      <w:r>
        <w:t xml:space="preserve">The Statewide audit is performed on transactions initiated by the </w:t>
      </w:r>
      <w:r w:rsidR="00460788">
        <w:t>agencies;</w:t>
      </w:r>
      <w:r>
        <w:t xml:space="preserve"> therefore</w:t>
      </w:r>
      <w:r w:rsidR="00886112">
        <w:t>,</w:t>
      </w:r>
      <w:r>
        <w:t xml:space="preserve"> the agencies are under audit </w:t>
      </w:r>
      <w:proofErr w:type="gramStart"/>
      <w:r>
        <w:t>at the same time that</w:t>
      </w:r>
      <w:proofErr w:type="gramEnd"/>
      <w:r>
        <w:t xml:space="preserve"> the CGO is under audit.  Agency balances and transactions are available for selection in testing and will be subjected to testing in the Statewide audit.  If an agency is contacted by the Statewide audit team, a prompt response is required.  Delaying response to the auditors reduces the efficiency of the audit process, negates any time savings from prompt reporting package submissions, and places the State at risk for not meeting the deadlines established by the GFOA, bond-rating agencies, and other users of the A</w:t>
      </w:r>
      <w:r w:rsidR="005E0E8A">
        <w:t>C</w:t>
      </w:r>
      <w:r>
        <w:t>FR and its content. If an agency does not understand the information requested by the auditors or need</w:t>
      </w:r>
      <w:r w:rsidR="00533EDD">
        <w:t>s</w:t>
      </w:r>
      <w:r>
        <w:t xml:space="preserve"> clarification of the circumstances giving rise to these inquiries, please contact the Statewide Accounting and Financial Reporting Division of the Comptroller General's Office.  </w:t>
      </w:r>
    </w:p>
    <w:p w14:paraId="73CEA651" w14:textId="77777777" w:rsidR="0012040B" w:rsidRDefault="00290DC2" w:rsidP="003B02BA">
      <w:pPr>
        <w:pStyle w:val="Heading2"/>
      </w:pPr>
      <w:bookmarkStart w:id="141" w:name="_Toc296021441"/>
      <w:bookmarkStart w:id="142" w:name="_Toc296021528"/>
      <w:bookmarkStart w:id="143" w:name="_Toc296235420"/>
      <w:bookmarkStart w:id="144" w:name="_Toc296235521"/>
      <w:bookmarkStart w:id="145" w:name="_Toc296247805"/>
      <w:bookmarkStart w:id="146" w:name="_Toc166149238"/>
      <w:r>
        <w:t xml:space="preserve">Section </w:t>
      </w:r>
      <w:r w:rsidR="009B555D">
        <w:t>1.</w:t>
      </w:r>
      <w:r w:rsidR="001E2120">
        <w:t>8</w:t>
      </w:r>
      <w:r w:rsidR="00896186" w:rsidRPr="00290DC2">
        <w:t xml:space="preserve"> S</w:t>
      </w:r>
      <w:r w:rsidR="0041613C" w:rsidRPr="00290DC2">
        <w:t xml:space="preserve">CEIS </w:t>
      </w:r>
      <w:r w:rsidR="000D4DB2" w:rsidRPr="00290DC2">
        <w:t>OVERVIEW</w:t>
      </w:r>
      <w:bookmarkEnd w:id="141"/>
      <w:bookmarkEnd w:id="142"/>
      <w:bookmarkEnd w:id="143"/>
      <w:bookmarkEnd w:id="144"/>
      <w:bookmarkEnd w:id="145"/>
      <w:bookmarkEnd w:id="146"/>
    </w:p>
    <w:p w14:paraId="59CF64AA" w14:textId="77777777" w:rsidR="005612A9" w:rsidRPr="00290DC2" w:rsidRDefault="0041613C" w:rsidP="002009B4">
      <w:pPr>
        <w:pStyle w:val="BodyText"/>
        <w:keepNext/>
        <w:rPr>
          <w:szCs w:val="24"/>
        </w:rPr>
      </w:pPr>
      <w:r w:rsidRPr="00290DC2">
        <w:rPr>
          <w:szCs w:val="24"/>
        </w:rPr>
        <w:t xml:space="preserve">SCEIS is an enterprise resource management system capable of double entry accrual accounting across a multitude of unique operational </w:t>
      </w:r>
      <w:r w:rsidR="005612A9" w:rsidRPr="00290DC2">
        <w:rPr>
          <w:szCs w:val="24"/>
        </w:rPr>
        <w:t>organizational units.</w:t>
      </w:r>
    </w:p>
    <w:p w14:paraId="0455B5B0" w14:textId="77777777" w:rsidR="005612A9" w:rsidRPr="00290DC2" w:rsidRDefault="005612A9" w:rsidP="000D4DB2">
      <w:pPr>
        <w:pStyle w:val="BodyText"/>
        <w:rPr>
          <w:szCs w:val="24"/>
        </w:rPr>
      </w:pPr>
      <w:r w:rsidRPr="00290DC2">
        <w:rPr>
          <w:szCs w:val="24"/>
        </w:rPr>
        <w:t>The Business Area identifies each organizational unit with funds, cost centers, functional areas</w:t>
      </w:r>
      <w:r w:rsidR="00B617B0">
        <w:rPr>
          <w:szCs w:val="24"/>
        </w:rPr>
        <w:t>, and funded programs</w:t>
      </w:r>
      <w:r w:rsidRPr="00290DC2">
        <w:rPr>
          <w:szCs w:val="24"/>
        </w:rPr>
        <w:t xml:space="preserve"> utilized to segregate operational activities.  </w:t>
      </w:r>
      <w:r w:rsidR="005A0756">
        <w:rPr>
          <w:szCs w:val="24"/>
        </w:rPr>
        <w:t>Additional segregations are available through the Grants Management and Projects Management functions of the system.</w:t>
      </w:r>
    </w:p>
    <w:p w14:paraId="6727D1F0" w14:textId="77777777" w:rsidR="005612A9" w:rsidRPr="00290DC2" w:rsidRDefault="005612A9" w:rsidP="000D4DB2">
      <w:pPr>
        <w:pStyle w:val="BodyText"/>
        <w:rPr>
          <w:szCs w:val="24"/>
        </w:rPr>
      </w:pPr>
      <w:r w:rsidRPr="00290DC2">
        <w:rPr>
          <w:szCs w:val="24"/>
        </w:rPr>
        <w:t xml:space="preserve">General Ledger Accounts provide the classification for managerial evaluation of the daily operations of the organization.  The design sequencing of the General Ledger Accounts provides general guidance in the financial statement reporting.  Additional mapping and hierarchy for financial reporting is performed in the design of Business Works Reports.  </w:t>
      </w:r>
    </w:p>
    <w:p w14:paraId="7DADDC72" w14:textId="1085C8DC" w:rsidR="005612A9" w:rsidRPr="00290DC2" w:rsidRDefault="005612A9" w:rsidP="000D4DB2">
      <w:pPr>
        <w:pStyle w:val="BodyText"/>
        <w:rPr>
          <w:szCs w:val="24"/>
        </w:rPr>
      </w:pPr>
      <w:r w:rsidRPr="00290DC2">
        <w:rPr>
          <w:szCs w:val="24"/>
        </w:rPr>
        <w:t xml:space="preserve">Within the master data elements of SCEIS the funds have been assigned to reporting groups </w:t>
      </w:r>
      <w:r w:rsidR="00B617B0">
        <w:rPr>
          <w:szCs w:val="24"/>
        </w:rPr>
        <w:t xml:space="preserve">representing </w:t>
      </w:r>
      <w:r w:rsidRPr="00290DC2">
        <w:rPr>
          <w:szCs w:val="24"/>
        </w:rPr>
        <w:t xml:space="preserve">GAAP funds and codes.  </w:t>
      </w:r>
      <w:r w:rsidR="00B617B0">
        <w:rPr>
          <w:szCs w:val="24"/>
        </w:rPr>
        <w:t>C</w:t>
      </w:r>
      <w:r w:rsidR="00B617B0" w:rsidRPr="00290DC2">
        <w:rPr>
          <w:szCs w:val="24"/>
        </w:rPr>
        <w:t>ost centers</w:t>
      </w:r>
      <w:r w:rsidR="00B617B0">
        <w:rPr>
          <w:szCs w:val="24"/>
        </w:rPr>
        <w:t xml:space="preserve">, </w:t>
      </w:r>
      <w:r w:rsidR="00B617B0" w:rsidRPr="00290DC2">
        <w:rPr>
          <w:szCs w:val="24"/>
        </w:rPr>
        <w:t>functional areas</w:t>
      </w:r>
      <w:r w:rsidR="00B617B0">
        <w:rPr>
          <w:szCs w:val="24"/>
        </w:rPr>
        <w:t>, and funded programs are utilized primarily for managerial reporting and budgetary reporting.</w:t>
      </w:r>
      <w:r w:rsidR="00B617B0" w:rsidRPr="00290DC2">
        <w:rPr>
          <w:szCs w:val="24"/>
        </w:rPr>
        <w:t xml:space="preserve"> </w:t>
      </w:r>
    </w:p>
    <w:p w14:paraId="11EEEFB6" w14:textId="77777777" w:rsidR="00896186" w:rsidRPr="00290DC2" w:rsidRDefault="00E74748" w:rsidP="00DD4167">
      <w:pPr>
        <w:pStyle w:val="Heading3"/>
      </w:pPr>
      <w:bookmarkStart w:id="147" w:name="_Toc296021442"/>
      <w:bookmarkStart w:id="148" w:name="_Toc296021529"/>
      <w:bookmarkStart w:id="149" w:name="_Toc296235421"/>
      <w:bookmarkStart w:id="150" w:name="_Toc296235522"/>
      <w:bookmarkStart w:id="151" w:name="_Toc296247806"/>
      <w:bookmarkStart w:id="152" w:name="_Toc166149239"/>
      <w:r w:rsidRPr="00290DC2">
        <w:t>Use of Funds</w:t>
      </w:r>
      <w:bookmarkEnd w:id="147"/>
      <w:bookmarkEnd w:id="148"/>
      <w:bookmarkEnd w:id="149"/>
      <w:bookmarkEnd w:id="150"/>
      <w:bookmarkEnd w:id="151"/>
      <w:bookmarkEnd w:id="152"/>
    </w:p>
    <w:p w14:paraId="166EDAFB" w14:textId="77777777" w:rsidR="0012040B" w:rsidRDefault="00896186">
      <w:pPr>
        <w:spacing w:line="240" w:lineRule="exact"/>
        <w:rPr>
          <w:szCs w:val="24"/>
        </w:rPr>
      </w:pPr>
      <w:r w:rsidRPr="00290DC2">
        <w:rPr>
          <w:szCs w:val="24"/>
        </w:rPr>
        <w:t xml:space="preserve">Generally Accepted Accounting Principles (GAAP) require governments to use </w:t>
      </w:r>
      <w:r w:rsidRPr="00290DC2">
        <w:rPr>
          <w:szCs w:val="24"/>
          <w:u w:val="words"/>
        </w:rPr>
        <w:t>funds</w:t>
      </w:r>
      <w:r w:rsidRPr="00290DC2">
        <w:rPr>
          <w:szCs w:val="24"/>
        </w:rPr>
        <w:t xml:space="preserve"> for accounting and reporting.  Each fund is a self</w:t>
      </w:r>
      <w:r w:rsidR="00E74748" w:rsidRPr="00290DC2">
        <w:rPr>
          <w:szCs w:val="24"/>
        </w:rPr>
        <w:t>-</w:t>
      </w:r>
      <w:r w:rsidRPr="00290DC2">
        <w:rPr>
          <w:szCs w:val="24"/>
        </w:rPr>
        <w:t>balancing set of accounts.</w:t>
      </w:r>
      <w:r w:rsidR="00B72E9A">
        <w:rPr>
          <w:szCs w:val="24"/>
        </w:rPr>
        <w:t xml:space="preserve">  </w:t>
      </w:r>
      <w:r w:rsidR="00E74748" w:rsidRPr="00290DC2">
        <w:rPr>
          <w:szCs w:val="24"/>
        </w:rPr>
        <w:t>F</w:t>
      </w:r>
      <w:r w:rsidRPr="00290DC2">
        <w:rPr>
          <w:szCs w:val="24"/>
        </w:rPr>
        <w:t xml:space="preserve">unds exist primarily for </w:t>
      </w:r>
      <w:r w:rsidRPr="00290DC2">
        <w:rPr>
          <w:i/>
          <w:iCs/>
          <w:szCs w:val="24"/>
        </w:rPr>
        <w:t>legal</w:t>
      </w:r>
      <w:r w:rsidRPr="00290DC2">
        <w:rPr>
          <w:szCs w:val="24"/>
        </w:rPr>
        <w:t xml:space="preserve"> accounting and reporting purposes.  </w:t>
      </w:r>
    </w:p>
    <w:p w14:paraId="35D39C10" w14:textId="77777777" w:rsidR="00896186" w:rsidRPr="00290DC2" w:rsidRDefault="00E74748" w:rsidP="00DD4167">
      <w:pPr>
        <w:pStyle w:val="Heading3"/>
      </w:pPr>
      <w:bookmarkStart w:id="153" w:name="_Toc296021443"/>
      <w:bookmarkStart w:id="154" w:name="_Toc296021530"/>
      <w:bookmarkStart w:id="155" w:name="_Toc296235422"/>
      <w:bookmarkStart w:id="156" w:name="_Toc296235523"/>
      <w:bookmarkStart w:id="157" w:name="_Toc296247807"/>
      <w:bookmarkStart w:id="158" w:name="_Toc166149240"/>
      <w:r w:rsidRPr="00290DC2">
        <w:lastRenderedPageBreak/>
        <w:t xml:space="preserve">Report </w:t>
      </w:r>
      <w:r w:rsidR="00896186" w:rsidRPr="00290DC2">
        <w:t>Fund Categories</w:t>
      </w:r>
      <w:bookmarkEnd w:id="153"/>
      <w:bookmarkEnd w:id="154"/>
      <w:bookmarkEnd w:id="155"/>
      <w:bookmarkEnd w:id="156"/>
      <w:bookmarkEnd w:id="157"/>
      <w:bookmarkEnd w:id="158"/>
    </w:p>
    <w:p w14:paraId="1216D33A" w14:textId="77777777" w:rsidR="00914D43" w:rsidRDefault="00896186">
      <w:pPr>
        <w:keepNext/>
        <w:keepLines/>
        <w:spacing w:before="60" w:after="40" w:line="240" w:lineRule="exact"/>
        <w:rPr>
          <w:szCs w:val="24"/>
        </w:rPr>
      </w:pPr>
      <w:r w:rsidRPr="00290DC2">
        <w:rPr>
          <w:szCs w:val="24"/>
        </w:rPr>
        <w:t>The State's basic</w:t>
      </w:r>
      <w:r w:rsidRPr="00290DC2">
        <w:rPr>
          <w:szCs w:val="24"/>
          <w:u w:val="words"/>
        </w:rPr>
        <w:t xml:space="preserve"> </w:t>
      </w:r>
      <w:r w:rsidRPr="00290DC2">
        <w:rPr>
          <w:szCs w:val="24"/>
        </w:rPr>
        <w:t>financial statements summarize the GAAP funds into various groupings.  In accordance with GAAP, the State categorizes its funds into the following groupings:</w:t>
      </w:r>
    </w:p>
    <w:p w14:paraId="10B22181" w14:textId="77777777" w:rsidR="0012040B" w:rsidRDefault="00896186" w:rsidP="00A977AC">
      <w:pPr>
        <w:pStyle w:val="Bullet0"/>
      </w:pPr>
      <w:r w:rsidRPr="00290DC2">
        <w:t>Governmental Funds</w:t>
      </w:r>
    </w:p>
    <w:p w14:paraId="1CBC05A4" w14:textId="77777777" w:rsidR="00896186" w:rsidRPr="00290DC2" w:rsidRDefault="00896186" w:rsidP="00290DC2">
      <w:pPr>
        <w:pStyle w:val="Bullet2"/>
        <w:keepNext/>
        <w:keepLines/>
        <w:spacing w:line="240" w:lineRule="exact"/>
        <w:rPr>
          <w:szCs w:val="24"/>
        </w:rPr>
      </w:pPr>
      <w:r w:rsidRPr="00290DC2">
        <w:rPr>
          <w:szCs w:val="24"/>
        </w:rPr>
        <w:noBreakHyphen/>
      </w:r>
      <w:r w:rsidRPr="00290DC2">
        <w:rPr>
          <w:szCs w:val="24"/>
        </w:rPr>
        <w:noBreakHyphen/>
      </w:r>
      <w:r w:rsidRPr="00290DC2">
        <w:rPr>
          <w:szCs w:val="24"/>
        </w:rPr>
        <w:tab/>
        <w:t>General Fund</w:t>
      </w:r>
    </w:p>
    <w:p w14:paraId="74312BC2" w14:textId="77777777" w:rsidR="00914D43" w:rsidRDefault="00896186">
      <w:pPr>
        <w:pStyle w:val="Bullet2"/>
        <w:keepNext/>
        <w:spacing w:line="240" w:lineRule="exact"/>
        <w:rPr>
          <w:szCs w:val="24"/>
        </w:rPr>
      </w:pPr>
      <w:r w:rsidRPr="00290DC2">
        <w:rPr>
          <w:szCs w:val="24"/>
        </w:rPr>
        <w:noBreakHyphen/>
      </w:r>
      <w:r w:rsidRPr="00290DC2">
        <w:rPr>
          <w:szCs w:val="24"/>
        </w:rPr>
        <w:noBreakHyphen/>
      </w:r>
      <w:r w:rsidRPr="00290DC2">
        <w:rPr>
          <w:szCs w:val="24"/>
        </w:rPr>
        <w:tab/>
        <w:t>Special Revenue Funds</w:t>
      </w:r>
    </w:p>
    <w:p w14:paraId="1D68A0BF" w14:textId="77777777" w:rsidR="00914D43" w:rsidRDefault="00896186">
      <w:pPr>
        <w:pStyle w:val="Bullet2"/>
        <w:keepNext/>
        <w:spacing w:line="240" w:lineRule="exact"/>
        <w:rPr>
          <w:szCs w:val="24"/>
        </w:rPr>
      </w:pPr>
      <w:r w:rsidRPr="00290DC2">
        <w:rPr>
          <w:szCs w:val="24"/>
        </w:rPr>
        <w:noBreakHyphen/>
      </w:r>
      <w:r w:rsidRPr="00290DC2">
        <w:rPr>
          <w:szCs w:val="24"/>
        </w:rPr>
        <w:noBreakHyphen/>
      </w:r>
      <w:r w:rsidRPr="00290DC2">
        <w:rPr>
          <w:szCs w:val="24"/>
        </w:rPr>
        <w:tab/>
        <w:t>Capital Projects Fund</w:t>
      </w:r>
    </w:p>
    <w:p w14:paraId="54E0E912" w14:textId="77777777" w:rsidR="00896186" w:rsidRPr="00290DC2" w:rsidRDefault="00B617B0">
      <w:pPr>
        <w:pStyle w:val="Bullet2"/>
        <w:spacing w:line="240" w:lineRule="exact"/>
        <w:rPr>
          <w:szCs w:val="24"/>
        </w:rPr>
      </w:pPr>
      <w:r w:rsidRPr="00290DC2">
        <w:rPr>
          <w:szCs w:val="24"/>
        </w:rPr>
        <w:noBreakHyphen/>
      </w:r>
      <w:r w:rsidRPr="00290DC2">
        <w:rPr>
          <w:szCs w:val="24"/>
        </w:rPr>
        <w:noBreakHyphen/>
      </w:r>
      <w:r w:rsidRPr="00290DC2">
        <w:rPr>
          <w:szCs w:val="24"/>
        </w:rPr>
        <w:tab/>
      </w:r>
      <w:r w:rsidR="00896186" w:rsidRPr="00290DC2">
        <w:rPr>
          <w:szCs w:val="24"/>
        </w:rPr>
        <w:t>Permanent Funds</w:t>
      </w:r>
    </w:p>
    <w:p w14:paraId="535A4010" w14:textId="77777777" w:rsidR="0012040B" w:rsidRDefault="00896186" w:rsidP="00A977AC">
      <w:pPr>
        <w:pStyle w:val="Bullet0"/>
      </w:pPr>
      <w:r w:rsidRPr="00290DC2">
        <w:t>Enterprise Funds</w:t>
      </w:r>
    </w:p>
    <w:p w14:paraId="48588E90" w14:textId="77777777" w:rsidR="0012040B" w:rsidRDefault="00896186" w:rsidP="00A977AC">
      <w:pPr>
        <w:pStyle w:val="Bullet0"/>
      </w:pPr>
      <w:r w:rsidRPr="00290DC2">
        <w:t>Internal Service Funds</w:t>
      </w:r>
    </w:p>
    <w:p w14:paraId="0862019C" w14:textId="77777777" w:rsidR="0012040B" w:rsidRDefault="00896186" w:rsidP="00A977AC">
      <w:pPr>
        <w:pStyle w:val="Bullet0"/>
      </w:pPr>
      <w:r w:rsidRPr="00290DC2">
        <w:t>Trust Funds</w:t>
      </w:r>
    </w:p>
    <w:p w14:paraId="32E4623D" w14:textId="77777777" w:rsidR="00896186" w:rsidRPr="00290DC2" w:rsidRDefault="00B617B0">
      <w:pPr>
        <w:pStyle w:val="Bullet2"/>
        <w:spacing w:line="240" w:lineRule="exact"/>
        <w:rPr>
          <w:szCs w:val="24"/>
        </w:rPr>
      </w:pPr>
      <w:r w:rsidRPr="00290DC2">
        <w:rPr>
          <w:szCs w:val="24"/>
        </w:rPr>
        <w:noBreakHyphen/>
      </w:r>
      <w:r w:rsidRPr="00290DC2">
        <w:rPr>
          <w:szCs w:val="24"/>
        </w:rPr>
        <w:noBreakHyphen/>
      </w:r>
      <w:r w:rsidRPr="00290DC2">
        <w:rPr>
          <w:szCs w:val="24"/>
        </w:rPr>
        <w:tab/>
      </w:r>
      <w:r w:rsidR="00896186" w:rsidRPr="00290DC2">
        <w:rPr>
          <w:szCs w:val="24"/>
        </w:rPr>
        <w:t>Private-Purpose Trust Funds</w:t>
      </w:r>
    </w:p>
    <w:p w14:paraId="7E998A35" w14:textId="77777777" w:rsidR="00896186" w:rsidRPr="00290DC2" w:rsidRDefault="00B617B0">
      <w:pPr>
        <w:pStyle w:val="Bullet2"/>
        <w:spacing w:line="240" w:lineRule="exact"/>
        <w:rPr>
          <w:szCs w:val="24"/>
        </w:rPr>
      </w:pPr>
      <w:r w:rsidRPr="00290DC2">
        <w:rPr>
          <w:szCs w:val="24"/>
        </w:rPr>
        <w:noBreakHyphen/>
      </w:r>
      <w:r w:rsidRPr="00290DC2">
        <w:rPr>
          <w:szCs w:val="24"/>
        </w:rPr>
        <w:noBreakHyphen/>
      </w:r>
      <w:r w:rsidRPr="00290DC2">
        <w:rPr>
          <w:szCs w:val="24"/>
        </w:rPr>
        <w:tab/>
      </w:r>
      <w:r w:rsidR="00896186" w:rsidRPr="00290DC2">
        <w:rPr>
          <w:szCs w:val="24"/>
        </w:rPr>
        <w:t xml:space="preserve">Pension </w:t>
      </w:r>
      <w:r w:rsidR="00B919EB" w:rsidRPr="00290DC2">
        <w:rPr>
          <w:szCs w:val="24"/>
        </w:rPr>
        <w:t xml:space="preserve">and Other </w:t>
      </w:r>
      <w:r w:rsidR="00886112">
        <w:rPr>
          <w:szCs w:val="24"/>
        </w:rPr>
        <w:t>Postemployment</w:t>
      </w:r>
      <w:r w:rsidR="00B919EB" w:rsidRPr="00290DC2">
        <w:rPr>
          <w:szCs w:val="24"/>
        </w:rPr>
        <w:t xml:space="preserve"> Benefit </w:t>
      </w:r>
      <w:r w:rsidR="00896186" w:rsidRPr="00290DC2">
        <w:rPr>
          <w:szCs w:val="24"/>
        </w:rPr>
        <w:t>Trust Funds</w:t>
      </w:r>
    </w:p>
    <w:p w14:paraId="63582177" w14:textId="77777777" w:rsidR="00B72E9A" w:rsidRDefault="00B617B0">
      <w:pPr>
        <w:pStyle w:val="Bullet2"/>
        <w:spacing w:line="240" w:lineRule="exact"/>
        <w:rPr>
          <w:szCs w:val="24"/>
        </w:rPr>
      </w:pPr>
      <w:r w:rsidRPr="00290DC2">
        <w:rPr>
          <w:szCs w:val="24"/>
        </w:rPr>
        <w:noBreakHyphen/>
      </w:r>
      <w:r w:rsidRPr="00290DC2">
        <w:rPr>
          <w:szCs w:val="24"/>
        </w:rPr>
        <w:noBreakHyphen/>
      </w:r>
      <w:r w:rsidRPr="00290DC2">
        <w:rPr>
          <w:szCs w:val="24"/>
        </w:rPr>
        <w:tab/>
      </w:r>
      <w:r w:rsidR="00896186" w:rsidRPr="00290DC2">
        <w:rPr>
          <w:szCs w:val="24"/>
        </w:rPr>
        <w:t>Investment Trust Funds</w:t>
      </w:r>
    </w:p>
    <w:p w14:paraId="4708C924" w14:textId="25FCE63A" w:rsidR="00B72E9A" w:rsidRDefault="00E17F2B" w:rsidP="00A977AC">
      <w:pPr>
        <w:pStyle w:val="Bullet0"/>
      </w:pPr>
      <w:r>
        <w:t>Custodial</w:t>
      </w:r>
      <w:r w:rsidRPr="00290DC2">
        <w:t xml:space="preserve"> </w:t>
      </w:r>
      <w:r w:rsidR="00B72E9A" w:rsidRPr="00290DC2">
        <w:t>Funds</w:t>
      </w:r>
    </w:p>
    <w:p w14:paraId="37194E09" w14:textId="77777777" w:rsidR="00814C09" w:rsidRPr="0072374F" w:rsidRDefault="00287481" w:rsidP="00A977AC">
      <w:pPr>
        <w:pStyle w:val="Bullet0"/>
      </w:pPr>
      <w:r>
        <w:t>Component Units</w:t>
      </w:r>
    </w:p>
    <w:p w14:paraId="60D36E95" w14:textId="77777777" w:rsidR="00814C09" w:rsidRPr="0072374F" w:rsidRDefault="00814C09" w:rsidP="00645391">
      <w:pPr>
        <w:pStyle w:val="Heading1"/>
        <w:rPr>
          <w:u w:val="single"/>
        </w:rPr>
      </w:pPr>
      <w:bookmarkStart w:id="159" w:name="_Toc296021531"/>
      <w:bookmarkStart w:id="160" w:name="_Toc296235423"/>
      <w:bookmarkStart w:id="161" w:name="_Toc296235524"/>
      <w:bookmarkStart w:id="162" w:name="_Toc296247808"/>
      <w:bookmarkStart w:id="163" w:name="_Toc166149241"/>
      <w:r w:rsidRPr="0072374F">
        <w:t>PART II MASTER REPORTING PACKAGE CHECKLIST</w:t>
      </w:r>
      <w:bookmarkEnd w:id="159"/>
      <w:bookmarkEnd w:id="160"/>
      <w:bookmarkEnd w:id="161"/>
      <w:bookmarkEnd w:id="162"/>
      <w:bookmarkEnd w:id="163"/>
    </w:p>
    <w:p w14:paraId="2A4636A0" w14:textId="77777777" w:rsidR="0012040B" w:rsidRDefault="00485EBC" w:rsidP="003B02BA">
      <w:pPr>
        <w:pStyle w:val="Heading2"/>
      </w:pPr>
      <w:bookmarkStart w:id="164" w:name="_Toc296021445"/>
      <w:bookmarkStart w:id="165" w:name="_Toc296021533"/>
      <w:bookmarkStart w:id="166" w:name="_Toc296235425"/>
      <w:bookmarkStart w:id="167" w:name="_Toc296235526"/>
      <w:bookmarkStart w:id="168" w:name="_Toc296247810"/>
      <w:bookmarkStart w:id="169" w:name="_Toc166149242"/>
      <w:r w:rsidRPr="0072374F">
        <w:t>Conceptual Discussions</w:t>
      </w:r>
      <w:bookmarkEnd w:id="164"/>
      <w:bookmarkEnd w:id="165"/>
      <w:bookmarkEnd w:id="166"/>
      <w:bookmarkEnd w:id="167"/>
      <w:bookmarkEnd w:id="168"/>
      <w:bookmarkEnd w:id="169"/>
      <w:r w:rsidRPr="0072374F">
        <w:t xml:space="preserve"> </w:t>
      </w:r>
    </w:p>
    <w:p w14:paraId="62AA7290" w14:textId="77777777" w:rsidR="0072374F" w:rsidRPr="0072374F" w:rsidRDefault="004E2FC5" w:rsidP="0072374F">
      <w:pPr>
        <w:pStyle w:val="BodyText"/>
        <w:spacing w:before="60"/>
        <w:rPr>
          <w:szCs w:val="24"/>
        </w:rPr>
      </w:pPr>
      <w:r>
        <w:rPr>
          <w:szCs w:val="24"/>
        </w:rPr>
        <w:t xml:space="preserve">More detailed Reporting </w:t>
      </w:r>
      <w:r w:rsidR="0072374F" w:rsidRPr="0072374F">
        <w:rPr>
          <w:szCs w:val="24"/>
        </w:rPr>
        <w:t xml:space="preserve">Principles and Policies are included in the </w:t>
      </w:r>
      <w:r>
        <w:rPr>
          <w:szCs w:val="24"/>
        </w:rPr>
        <w:t>Topical Part III.  This section is included to provide an overview for completion of the Master Reporting Package Checklist.</w:t>
      </w:r>
      <w:r w:rsidR="0072374F" w:rsidRPr="0072374F">
        <w:rPr>
          <w:szCs w:val="24"/>
        </w:rPr>
        <w:t xml:space="preserve">  Please refer to the related section </w:t>
      </w:r>
      <w:r w:rsidR="00AB118D">
        <w:rPr>
          <w:szCs w:val="24"/>
        </w:rPr>
        <w:t>for more information</w:t>
      </w:r>
      <w:r w:rsidR="0072374F" w:rsidRPr="0072374F">
        <w:rPr>
          <w:szCs w:val="24"/>
        </w:rPr>
        <w:t xml:space="preserve">.  </w:t>
      </w:r>
    </w:p>
    <w:p w14:paraId="3FF9E15E" w14:textId="77777777" w:rsidR="0072374F" w:rsidRPr="0072374F" w:rsidRDefault="0072374F" w:rsidP="0072374F">
      <w:pPr>
        <w:pStyle w:val="BodyText"/>
        <w:spacing w:before="60" w:after="20"/>
        <w:rPr>
          <w:i/>
          <w:szCs w:val="24"/>
        </w:rPr>
      </w:pPr>
      <w:r w:rsidRPr="0072374F">
        <w:rPr>
          <w:i/>
          <w:szCs w:val="24"/>
        </w:rPr>
        <w:t>Capital Assets</w:t>
      </w:r>
    </w:p>
    <w:p w14:paraId="7047B1EE" w14:textId="7777544B" w:rsidR="0072374F" w:rsidRPr="0072374F" w:rsidRDefault="0072374F" w:rsidP="0072374F">
      <w:pPr>
        <w:pStyle w:val="BodyText"/>
        <w:spacing w:before="20"/>
        <w:rPr>
          <w:szCs w:val="24"/>
        </w:rPr>
      </w:pPr>
      <w:r w:rsidRPr="0072374F">
        <w:rPr>
          <w:szCs w:val="24"/>
        </w:rPr>
        <w:t xml:space="preserve">Examples of asset classifications include land, improvements to land, easements, buildings, building improvements, vehicles, machinery, equipment, works of art and historical treasures, and all other tangible or intangible assets that are used in operations.  The funding source for the purchase of the asset does not preclude its qualification as a capital asset.  </w:t>
      </w:r>
    </w:p>
    <w:p w14:paraId="0981EF0D" w14:textId="77777777" w:rsidR="0072374F" w:rsidRPr="0072374F" w:rsidRDefault="0072374F" w:rsidP="0072374F">
      <w:pPr>
        <w:pStyle w:val="BodyText"/>
        <w:spacing w:before="60" w:after="20"/>
        <w:rPr>
          <w:i/>
          <w:szCs w:val="24"/>
        </w:rPr>
      </w:pPr>
      <w:r w:rsidRPr="0072374F">
        <w:rPr>
          <w:i/>
          <w:szCs w:val="24"/>
        </w:rPr>
        <w:t>Cash</w:t>
      </w:r>
    </w:p>
    <w:p w14:paraId="58BC754D" w14:textId="77777777" w:rsidR="0072374F" w:rsidRPr="0072374F" w:rsidRDefault="0072374F" w:rsidP="0072374F">
      <w:pPr>
        <w:pStyle w:val="BodyText"/>
        <w:spacing w:before="20"/>
        <w:rPr>
          <w:szCs w:val="24"/>
        </w:rPr>
      </w:pPr>
      <w:r w:rsidRPr="0072374F">
        <w:rPr>
          <w:szCs w:val="24"/>
        </w:rPr>
        <w:t>Information relating to the cash balances held with the State Treasurer’s Office (STO) will be obtained from the STO and should not be included in the amounts reported on the year-end reporting packages.</w:t>
      </w:r>
    </w:p>
    <w:p w14:paraId="50ECF1EC" w14:textId="77777777" w:rsidR="0072374F" w:rsidRPr="0072374F" w:rsidRDefault="0072374F" w:rsidP="0072374F">
      <w:pPr>
        <w:pStyle w:val="BodyText"/>
        <w:spacing w:before="60" w:after="20"/>
        <w:rPr>
          <w:i/>
          <w:szCs w:val="24"/>
        </w:rPr>
      </w:pPr>
      <w:r w:rsidRPr="0072374F">
        <w:rPr>
          <w:i/>
          <w:szCs w:val="24"/>
        </w:rPr>
        <w:t>Cash Conduit</w:t>
      </w:r>
    </w:p>
    <w:p w14:paraId="2D09DA9B" w14:textId="77777777" w:rsidR="0072374F" w:rsidRPr="0072374F" w:rsidRDefault="0072374F" w:rsidP="0072374F">
      <w:pPr>
        <w:pStyle w:val="BodyText"/>
        <w:spacing w:before="20"/>
        <w:rPr>
          <w:szCs w:val="24"/>
        </w:rPr>
      </w:pPr>
      <w:r w:rsidRPr="0072374F">
        <w:rPr>
          <w:szCs w:val="24"/>
        </w:rPr>
        <w:t xml:space="preserve">According to paragraph 5 of GASB Statement 24, administrative or direct financial involvement includes (a) monitoring secondary recipients for compliance with program-specific requirements, (b) determining eligible secondary recipients or projects, even if using grantor-established criteria, (c) having the ability to exercise discretion in how the funds are allocated,  (d) financing some direct program costs because of a </w:t>
      </w:r>
      <w:r w:rsidRPr="0072374F">
        <w:rPr>
          <w:szCs w:val="24"/>
        </w:rPr>
        <w:lastRenderedPageBreak/>
        <w:t>grantor-imposed matching requirement, or (e) being liable for disallowed costs.  If your agency serves as a cash conduit in passing through grant or contribution funds to a non-State entity, the activity should be accounted for in an Agency Fund Type.  It is unusual for the State to serve as a cash conduit in passing through grants or contributions.</w:t>
      </w:r>
    </w:p>
    <w:p w14:paraId="6E14270D" w14:textId="77777777" w:rsidR="0072374F" w:rsidRPr="0072374F" w:rsidRDefault="0072374F" w:rsidP="004E2FC5">
      <w:pPr>
        <w:pStyle w:val="BodyText"/>
        <w:keepNext/>
        <w:spacing w:before="60" w:after="20"/>
        <w:rPr>
          <w:i/>
          <w:szCs w:val="24"/>
        </w:rPr>
      </w:pPr>
      <w:r w:rsidRPr="0072374F">
        <w:rPr>
          <w:i/>
          <w:szCs w:val="24"/>
        </w:rPr>
        <w:t>Claim Paying Program</w:t>
      </w:r>
    </w:p>
    <w:p w14:paraId="162B0726" w14:textId="77777777" w:rsidR="0072374F" w:rsidRPr="0072374F" w:rsidRDefault="0072374F" w:rsidP="0072374F">
      <w:pPr>
        <w:keepNext/>
        <w:spacing w:before="20" w:after="20"/>
        <w:rPr>
          <w:szCs w:val="24"/>
        </w:rPr>
      </w:pPr>
      <w:r w:rsidRPr="0072374F">
        <w:rPr>
          <w:szCs w:val="24"/>
        </w:rPr>
        <w:t>Claim-paying programs do one of the following:</w:t>
      </w:r>
    </w:p>
    <w:p w14:paraId="0BBE062A" w14:textId="77777777" w:rsidR="0072374F" w:rsidRPr="0072374F" w:rsidRDefault="0072374F" w:rsidP="0072374F">
      <w:pPr>
        <w:pStyle w:val="Bullet10"/>
        <w:keepNext/>
        <w:spacing w:before="20" w:after="20"/>
        <w:ind w:hanging="274"/>
        <w:rPr>
          <w:szCs w:val="24"/>
        </w:rPr>
      </w:pPr>
      <w:r w:rsidRPr="0072374F">
        <w:rPr>
          <w:szCs w:val="24"/>
        </w:rPr>
        <w:t>o</w:t>
      </w:r>
      <w:r w:rsidRPr="0072374F">
        <w:rPr>
          <w:szCs w:val="24"/>
        </w:rPr>
        <w:tab/>
        <w:t xml:space="preserve">Contract with a </w:t>
      </w:r>
      <w:proofErr w:type="gramStart"/>
      <w:r w:rsidRPr="0072374F">
        <w:rPr>
          <w:szCs w:val="24"/>
        </w:rPr>
        <w:t>third party</w:t>
      </w:r>
      <w:proofErr w:type="gramEnd"/>
      <w:r w:rsidRPr="0072374F">
        <w:rPr>
          <w:szCs w:val="24"/>
        </w:rPr>
        <w:t xml:space="preserve"> administrator to process claims for payment.</w:t>
      </w:r>
    </w:p>
    <w:p w14:paraId="13FF2611" w14:textId="77777777" w:rsidR="0072374F" w:rsidRPr="0072374F" w:rsidRDefault="0072374F" w:rsidP="0072374F">
      <w:pPr>
        <w:pStyle w:val="Bullet10"/>
        <w:spacing w:before="20" w:after="20"/>
        <w:ind w:hanging="270"/>
        <w:rPr>
          <w:szCs w:val="24"/>
        </w:rPr>
      </w:pPr>
      <w:r w:rsidRPr="0072374F">
        <w:rPr>
          <w:szCs w:val="24"/>
        </w:rPr>
        <w:t>o</w:t>
      </w:r>
      <w:r w:rsidRPr="0072374F">
        <w:rPr>
          <w:szCs w:val="24"/>
        </w:rPr>
        <w:tab/>
        <w:t>Process and pay claims directly.</w:t>
      </w:r>
    </w:p>
    <w:p w14:paraId="3E64257B" w14:textId="34C12A02" w:rsidR="0072374F" w:rsidRPr="0072374F" w:rsidRDefault="0072374F" w:rsidP="0072374F">
      <w:pPr>
        <w:spacing w:before="20"/>
        <w:rPr>
          <w:szCs w:val="24"/>
        </w:rPr>
      </w:pPr>
      <w:r w:rsidRPr="0072374F">
        <w:rPr>
          <w:szCs w:val="24"/>
        </w:rPr>
        <w:t xml:space="preserve">The State Unemployment Compensation Program </w:t>
      </w:r>
      <w:r w:rsidR="00A112E8">
        <w:rPr>
          <w:szCs w:val="24"/>
        </w:rPr>
        <w:t>is</w:t>
      </w:r>
      <w:r w:rsidRPr="0072374F">
        <w:rPr>
          <w:szCs w:val="24"/>
        </w:rPr>
        <w:t xml:space="preserve"> not </w:t>
      </w:r>
      <w:r w:rsidR="00A112E8">
        <w:rPr>
          <w:szCs w:val="24"/>
        </w:rPr>
        <w:t xml:space="preserve">a </w:t>
      </w:r>
      <w:r w:rsidRPr="0072374F">
        <w:rPr>
          <w:szCs w:val="24"/>
        </w:rPr>
        <w:t>claim-paying program for reporting package purposes.</w:t>
      </w:r>
    </w:p>
    <w:p w14:paraId="22FEA837" w14:textId="77777777" w:rsidR="0072374F" w:rsidRPr="0072374F" w:rsidRDefault="0072374F" w:rsidP="0072374F">
      <w:pPr>
        <w:pStyle w:val="BodyText"/>
        <w:keepNext/>
        <w:spacing w:before="60" w:after="20"/>
        <w:rPr>
          <w:i/>
          <w:szCs w:val="24"/>
        </w:rPr>
      </w:pPr>
      <w:r w:rsidRPr="0072374F">
        <w:rPr>
          <w:i/>
          <w:szCs w:val="24"/>
        </w:rPr>
        <w:t>Commitments</w:t>
      </w:r>
    </w:p>
    <w:p w14:paraId="1E88193A" w14:textId="5EB9F7AF" w:rsidR="0072374F" w:rsidRPr="0072374F" w:rsidRDefault="0072374F" w:rsidP="0072374F">
      <w:pPr>
        <w:pStyle w:val="BodyText"/>
        <w:spacing w:before="20"/>
        <w:rPr>
          <w:szCs w:val="24"/>
        </w:rPr>
      </w:pPr>
      <w:r w:rsidRPr="0072374F">
        <w:rPr>
          <w:szCs w:val="24"/>
        </w:rPr>
        <w:t>Commitments arise from contracts and other irrevocable promises to pay money or provide goods and services to a party outside State government.  A commitment becomes a liability only when the contract is performed.</w:t>
      </w:r>
      <w:r w:rsidR="00BD62E4">
        <w:rPr>
          <w:szCs w:val="24"/>
        </w:rPr>
        <w:t xml:space="preserve"> </w:t>
      </w:r>
      <w:r w:rsidRPr="0072374F">
        <w:rPr>
          <w:i/>
          <w:iCs/>
          <w:szCs w:val="24"/>
        </w:rPr>
        <w:t>Miscellaneous</w:t>
      </w:r>
      <w:r w:rsidRPr="0072374F">
        <w:rPr>
          <w:szCs w:val="24"/>
        </w:rPr>
        <w:t xml:space="preserve"> commitments (see Section 3.16) do not include </w:t>
      </w:r>
      <w:r w:rsidR="00BD62E4" w:rsidRPr="00BD62E4">
        <w:rPr>
          <w:szCs w:val="24"/>
        </w:rPr>
        <w:t>commitments for the construction, repair, development, or purchase</w:t>
      </w:r>
      <w:r w:rsidR="00BD62E4">
        <w:rPr>
          <w:szCs w:val="24"/>
        </w:rPr>
        <w:t xml:space="preserve"> </w:t>
      </w:r>
      <w:r w:rsidR="00BD62E4" w:rsidRPr="00BD62E4">
        <w:rPr>
          <w:szCs w:val="24"/>
        </w:rPr>
        <w:t>of capital assets (including lease or subscription commitments that will be capitalized as lease</w:t>
      </w:r>
      <w:r w:rsidR="00BD62E4">
        <w:rPr>
          <w:szCs w:val="24"/>
        </w:rPr>
        <w:t xml:space="preserve"> </w:t>
      </w:r>
      <w:r w:rsidR="00BD62E4" w:rsidRPr="00BD62E4">
        <w:rPr>
          <w:szCs w:val="24"/>
        </w:rPr>
        <w:t>or SBITA assets after year-end</w:t>
      </w:r>
      <w:r w:rsidR="00BD62E4">
        <w:rPr>
          <w:szCs w:val="24"/>
        </w:rPr>
        <w:t>), which are reported on the 3.08 Capital Asset Reporting Package</w:t>
      </w:r>
      <w:r w:rsidRPr="0072374F">
        <w:rPr>
          <w:szCs w:val="24"/>
        </w:rPr>
        <w:t xml:space="preserve">.  Agencies should report only miscellaneous commitments for which contracts were signed or promises were made on or before June 30 for which services were unperformed. </w:t>
      </w:r>
    </w:p>
    <w:p w14:paraId="663C9857" w14:textId="77777777" w:rsidR="0072374F" w:rsidRPr="0072374F" w:rsidRDefault="0072374F" w:rsidP="0072374F">
      <w:pPr>
        <w:pStyle w:val="BodyText"/>
        <w:keepNext/>
        <w:spacing w:before="60" w:after="20"/>
        <w:rPr>
          <w:i/>
          <w:szCs w:val="24"/>
        </w:rPr>
      </w:pPr>
      <w:r w:rsidRPr="0072374F">
        <w:rPr>
          <w:i/>
          <w:szCs w:val="24"/>
        </w:rPr>
        <w:t>Composite Reservoir Bank Accounts</w:t>
      </w:r>
    </w:p>
    <w:p w14:paraId="3DAD2C61" w14:textId="77777777" w:rsidR="0072374F" w:rsidRPr="0072374F" w:rsidRDefault="0072374F" w:rsidP="0072374F">
      <w:pPr>
        <w:pStyle w:val="BodyText"/>
        <w:spacing w:before="20"/>
        <w:rPr>
          <w:szCs w:val="24"/>
        </w:rPr>
      </w:pPr>
      <w:r w:rsidRPr="0072374F">
        <w:rPr>
          <w:szCs w:val="24"/>
        </w:rPr>
        <w:t>In a composite reservoir account, an agency writes checks against a pooled balance.  The bank keeps available balances sufficient to honor the checks being written.  Because of the transactions processed through the account, composite reservoir accounts may carry negative balances.</w:t>
      </w:r>
    </w:p>
    <w:p w14:paraId="378C58DC" w14:textId="77777777" w:rsidR="0072374F" w:rsidRPr="0072374F" w:rsidRDefault="0072374F" w:rsidP="0072374F">
      <w:pPr>
        <w:pStyle w:val="BodyText"/>
        <w:keepNext/>
        <w:spacing w:before="60" w:after="20"/>
        <w:rPr>
          <w:i/>
          <w:szCs w:val="24"/>
        </w:rPr>
      </w:pPr>
      <w:r w:rsidRPr="0072374F">
        <w:rPr>
          <w:i/>
          <w:szCs w:val="24"/>
        </w:rPr>
        <w:t>Disallowance</w:t>
      </w:r>
    </w:p>
    <w:p w14:paraId="1E39BEAD" w14:textId="77777777" w:rsidR="0072374F" w:rsidRPr="0072374F" w:rsidRDefault="0072374F" w:rsidP="0072374F">
      <w:pPr>
        <w:spacing w:before="20" w:after="20" w:line="260" w:lineRule="atLeast"/>
        <w:rPr>
          <w:szCs w:val="24"/>
        </w:rPr>
      </w:pPr>
      <w:r w:rsidRPr="0072374F">
        <w:rPr>
          <w:szCs w:val="24"/>
        </w:rPr>
        <w:t>Grantors routinely review and audit programs to be sure that recipients have followed all program rules.  The review or audit may question certain costs.  The questioned costs are negotiated between the Grantor and recipient to determine settlement terms which identify the disallowances.  Questioned costs become disallowances only when the State agrees to do one or both of the following:</w:t>
      </w:r>
    </w:p>
    <w:p w14:paraId="2854A2A7" w14:textId="77777777" w:rsidR="0072374F" w:rsidRPr="0072374F" w:rsidRDefault="0072374F" w:rsidP="0072374F">
      <w:pPr>
        <w:pStyle w:val="Bullet10"/>
        <w:keepNext/>
        <w:spacing w:before="20" w:after="20" w:line="260" w:lineRule="atLeast"/>
        <w:ind w:hanging="360"/>
        <w:rPr>
          <w:szCs w:val="24"/>
        </w:rPr>
      </w:pPr>
      <w:r w:rsidRPr="0072374F">
        <w:rPr>
          <w:szCs w:val="24"/>
        </w:rPr>
        <w:t>o</w:t>
      </w:r>
      <w:r w:rsidRPr="0072374F">
        <w:rPr>
          <w:szCs w:val="24"/>
        </w:rPr>
        <w:tab/>
        <w:t>Make current or future payments to the grantor.</w:t>
      </w:r>
    </w:p>
    <w:p w14:paraId="51F0B629" w14:textId="77777777" w:rsidR="0072374F" w:rsidRPr="0072374F" w:rsidRDefault="0072374F" w:rsidP="0072374F">
      <w:pPr>
        <w:pStyle w:val="Bullet2"/>
        <w:spacing w:before="20" w:after="20" w:line="260" w:lineRule="atLeast"/>
        <w:ind w:left="1080" w:hanging="360"/>
        <w:rPr>
          <w:szCs w:val="24"/>
        </w:rPr>
      </w:pPr>
      <w:r w:rsidRPr="0072374F">
        <w:rPr>
          <w:szCs w:val="24"/>
        </w:rPr>
        <w:t>--</w:t>
      </w:r>
      <w:r w:rsidRPr="0072374F">
        <w:rPr>
          <w:szCs w:val="24"/>
        </w:rPr>
        <w:tab/>
        <w:t>The payments may be direct or indirect.  For example, the State may pay indirectly by reducing future grant expenditure reports to offset earlier disallowed costs.</w:t>
      </w:r>
    </w:p>
    <w:p w14:paraId="1A892667" w14:textId="77777777" w:rsidR="0072374F" w:rsidRPr="0072374F" w:rsidRDefault="0072374F" w:rsidP="0072374F">
      <w:pPr>
        <w:pStyle w:val="Bullet2"/>
        <w:spacing w:before="20" w:after="20" w:line="260" w:lineRule="atLeast"/>
        <w:ind w:left="1080" w:hanging="360"/>
        <w:rPr>
          <w:szCs w:val="24"/>
        </w:rPr>
      </w:pPr>
      <w:r w:rsidRPr="0072374F">
        <w:rPr>
          <w:szCs w:val="24"/>
        </w:rPr>
        <w:t>--</w:t>
      </w:r>
      <w:r w:rsidRPr="0072374F">
        <w:rPr>
          <w:szCs w:val="24"/>
        </w:rPr>
        <w:tab/>
        <w:t>The payments may equal the amount of disallowed costs or include penalty amounts.</w:t>
      </w:r>
    </w:p>
    <w:p w14:paraId="1A92F94A" w14:textId="77777777" w:rsidR="0072374F" w:rsidRPr="0072374F" w:rsidRDefault="0072374F" w:rsidP="008457EE">
      <w:pPr>
        <w:pStyle w:val="Bullet10"/>
        <w:spacing w:before="20"/>
        <w:ind w:hanging="360"/>
        <w:rPr>
          <w:szCs w:val="24"/>
        </w:rPr>
      </w:pPr>
      <w:r w:rsidRPr="0072374F">
        <w:rPr>
          <w:szCs w:val="24"/>
        </w:rPr>
        <w:t>o</w:t>
      </w:r>
      <w:r w:rsidRPr="0072374F">
        <w:rPr>
          <w:szCs w:val="24"/>
        </w:rPr>
        <w:tab/>
        <w:t>Accept current or future reductions in grant funds already awarded to the State.</w:t>
      </w:r>
    </w:p>
    <w:p w14:paraId="13724462" w14:textId="77777777" w:rsidR="0072374F" w:rsidRPr="0072374F" w:rsidRDefault="0072374F" w:rsidP="0072374F">
      <w:pPr>
        <w:pStyle w:val="BodyText"/>
        <w:keepNext/>
        <w:spacing w:before="60" w:after="20"/>
        <w:rPr>
          <w:i/>
          <w:szCs w:val="24"/>
        </w:rPr>
      </w:pPr>
      <w:r w:rsidRPr="0072374F">
        <w:rPr>
          <w:i/>
          <w:szCs w:val="24"/>
        </w:rPr>
        <w:lastRenderedPageBreak/>
        <w:t>Fraud and Misstatements</w:t>
      </w:r>
    </w:p>
    <w:p w14:paraId="21B6156E" w14:textId="478DE2AB" w:rsidR="0072374F" w:rsidRPr="0072374F" w:rsidRDefault="0072374F" w:rsidP="0072374F">
      <w:pPr>
        <w:keepNext/>
        <w:spacing w:before="20" w:after="40"/>
        <w:rPr>
          <w:szCs w:val="24"/>
        </w:rPr>
      </w:pPr>
      <w:r w:rsidRPr="0072374F">
        <w:rPr>
          <w:szCs w:val="24"/>
        </w:rPr>
        <w:t xml:space="preserve">Two types of misstatements that could affect the preparation of the </w:t>
      </w:r>
      <w:r w:rsidR="005E0E8A">
        <w:rPr>
          <w:szCs w:val="24"/>
        </w:rPr>
        <w:t xml:space="preserve">Annual </w:t>
      </w:r>
      <w:r w:rsidRPr="0072374F">
        <w:rPr>
          <w:szCs w:val="24"/>
        </w:rPr>
        <w:t>Comprehensive Financial Report (A</w:t>
      </w:r>
      <w:r w:rsidR="005E0E8A">
        <w:rPr>
          <w:szCs w:val="24"/>
        </w:rPr>
        <w:t>C</w:t>
      </w:r>
      <w:r w:rsidRPr="0072374F">
        <w:rPr>
          <w:szCs w:val="24"/>
        </w:rPr>
        <w:t>FR) are:</w:t>
      </w:r>
    </w:p>
    <w:p w14:paraId="6160EEC8" w14:textId="77777777" w:rsidR="0072374F" w:rsidRPr="0072374F" w:rsidRDefault="0072374F" w:rsidP="005C2F33">
      <w:pPr>
        <w:pStyle w:val="Bullet10"/>
        <w:keepLines/>
        <w:numPr>
          <w:ilvl w:val="0"/>
          <w:numId w:val="15"/>
        </w:numPr>
        <w:spacing w:before="40" w:after="40" w:line="260" w:lineRule="atLeast"/>
        <w:rPr>
          <w:szCs w:val="24"/>
        </w:rPr>
      </w:pPr>
      <w:r w:rsidRPr="0072374F">
        <w:rPr>
          <w:szCs w:val="24"/>
        </w:rPr>
        <w:t xml:space="preserve">Misstatements arising from </w:t>
      </w:r>
      <w:r w:rsidRPr="0072374F">
        <w:rPr>
          <w:i/>
          <w:iCs/>
          <w:szCs w:val="24"/>
        </w:rPr>
        <w:t>fraudulent financial reporting</w:t>
      </w:r>
      <w:r w:rsidRPr="0072374F">
        <w:rPr>
          <w:szCs w:val="24"/>
        </w:rPr>
        <w:t xml:space="preserve"> due to intentional misstatements or omissions of amounts in the accounting records designed to deceive the user.  Examples of fraudulent financial reporting include the manipulation, falsification, or alteration of accounting records and supporting documentation (invoices, purchase orders, checks, </w:t>
      </w:r>
      <w:proofErr w:type="spellStart"/>
      <w:r w:rsidRPr="0072374F">
        <w:rPr>
          <w:szCs w:val="24"/>
        </w:rPr>
        <w:t>etc</w:t>
      </w:r>
      <w:proofErr w:type="spellEnd"/>
      <w:r w:rsidRPr="0072374F">
        <w:rPr>
          <w:szCs w:val="24"/>
        </w:rPr>
        <w:t>), omissions of transactions, and misapplication of accounting principles.</w:t>
      </w:r>
    </w:p>
    <w:p w14:paraId="5EB555FB" w14:textId="77777777" w:rsidR="0072374F" w:rsidRPr="0072374F" w:rsidRDefault="0072374F" w:rsidP="005C2F33">
      <w:pPr>
        <w:pStyle w:val="Bullet10"/>
        <w:keepLines/>
        <w:numPr>
          <w:ilvl w:val="0"/>
          <w:numId w:val="15"/>
        </w:numPr>
        <w:spacing w:before="40" w:after="40" w:line="260" w:lineRule="atLeast"/>
        <w:rPr>
          <w:szCs w:val="24"/>
        </w:rPr>
      </w:pPr>
      <w:r w:rsidRPr="0072374F">
        <w:rPr>
          <w:szCs w:val="24"/>
        </w:rPr>
        <w:t xml:space="preserve">Misstatements arising from </w:t>
      </w:r>
      <w:r w:rsidRPr="0072374F">
        <w:rPr>
          <w:i/>
          <w:iCs/>
          <w:szCs w:val="24"/>
        </w:rPr>
        <w:t>misappropriation of assets</w:t>
      </w:r>
      <w:r w:rsidRPr="0072374F">
        <w:rPr>
          <w:szCs w:val="24"/>
        </w:rPr>
        <w:t xml:space="preserve"> involve the theft of the Agency’s assets through embezzlement of cash receipts, theft of supplies and equipment, and the payment for goods and services never received.</w:t>
      </w:r>
    </w:p>
    <w:p w14:paraId="6DB06A87" w14:textId="77777777" w:rsidR="0072374F" w:rsidRPr="0072374F" w:rsidRDefault="0072374F" w:rsidP="0072374F">
      <w:pPr>
        <w:spacing w:before="40"/>
        <w:rPr>
          <w:szCs w:val="24"/>
        </w:rPr>
      </w:pPr>
      <w:r w:rsidRPr="0072374F">
        <w:rPr>
          <w:szCs w:val="24"/>
        </w:rPr>
        <w:t>All State agencies are responsible for designing and implementing programs and controls to prevent and detect fraud.</w:t>
      </w:r>
    </w:p>
    <w:p w14:paraId="23F3AFE9" w14:textId="77777777" w:rsidR="0072374F" w:rsidRPr="0072374F" w:rsidRDefault="0072374F" w:rsidP="0072374F">
      <w:pPr>
        <w:pStyle w:val="BodyText"/>
        <w:keepNext/>
        <w:spacing w:before="60" w:after="20"/>
        <w:rPr>
          <w:i/>
          <w:szCs w:val="24"/>
        </w:rPr>
      </w:pPr>
      <w:r w:rsidRPr="0072374F">
        <w:rPr>
          <w:i/>
          <w:szCs w:val="24"/>
        </w:rPr>
        <w:t>Grants</w:t>
      </w:r>
    </w:p>
    <w:p w14:paraId="56B042A7" w14:textId="77777777" w:rsidR="0072374F" w:rsidRPr="0072374F" w:rsidRDefault="0072374F" w:rsidP="0072374F">
      <w:pPr>
        <w:pStyle w:val="BodyText"/>
        <w:spacing w:before="20" w:after="60"/>
        <w:rPr>
          <w:szCs w:val="24"/>
        </w:rPr>
      </w:pPr>
      <w:r w:rsidRPr="0072374F">
        <w:rPr>
          <w:szCs w:val="24"/>
        </w:rPr>
        <w:t xml:space="preserve">Grant agreements can be complex in terminology and format because it constitutes a legal agreement.  For guidance on proper identification of an agreement as a grant or vendor service contract please refer to OMB Circular A-133 Subpart B Section _.210.  </w:t>
      </w:r>
    </w:p>
    <w:p w14:paraId="42F9E5AC" w14:textId="77777777" w:rsidR="0072374F" w:rsidRPr="0072374F" w:rsidRDefault="0072374F" w:rsidP="0072374F">
      <w:pPr>
        <w:spacing w:before="20" w:after="20" w:line="240" w:lineRule="exact"/>
        <w:rPr>
          <w:szCs w:val="24"/>
        </w:rPr>
      </w:pPr>
      <w:r w:rsidRPr="0072374F">
        <w:rPr>
          <w:szCs w:val="24"/>
        </w:rPr>
        <w:t xml:space="preserve">Grants and Contribution Revenue are received from grantors.  Generally, the </w:t>
      </w:r>
      <w:r w:rsidRPr="0072374F">
        <w:rPr>
          <w:i/>
          <w:szCs w:val="24"/>
        </w:rPr>
        <w:t>end recipient</w:t>
      </w:r>
      <w:r w:rsidRPr="0072374F">
        <w:rPr>
          <w:szCs w:val="24"/>
        </w:rPr>
        <w:t xml:space="preserve"> within the State should report amounts in the Grants and Contribution Revenues Reporting package.  For reporting package purposes:</w:t>
      </w:r>
    </w:p>
    <w:p w14:paraId="07ECCBA2" w14:textId="77777777" w:rsidR="0072374F" w:rsidRPr="0072374F" w:rsidRDefault="0072374F" w:rsidP="0072374F">
      <w:pPr>
        <w:pStyle w:val="BodyText"/>
        <w:spacing w:before="20" w:after="60"/>
        <w:ind w:left="720" w:hanging="274"/>
        <w:rPr>
          <w:szCs w:val="24"/>
        </w:rPr>
      </w:pPr>
      <w:r w:rsidRPr="0072374F">
        <w:rPr>
          <w:szCs w:val="24"/>
        </w:rPr>
        <w:t>o</w:t>
      </w:r>
      <w:r w:rsidRPr="0072374F">
        <w:rPr>
          <w:szCs w:val="24"/>
        </w:rPr>
        <w:tab/>
        <w:t xml:space="preserve">Amounts expended directly for goods or services under a grant or under a fee–for-service contract (subcontract) are not pass-through grants.  In these cases, your agency is considered the end recipient of the grant funds. </w:t>
      </w:r>
    </w:p>
    <w:p w14:paraId="224CB8A8" w14:textId="77777777" w:rsidR="0072374F" w:rsidRPr="0072374F" w:rsidRDefault="0072374F" w:rsidP="0072374F">
      <w:pPr>
        <w:pStyle w:val="Bullet10"/>
        <w:spacing w:before="20" w:after="60" w:line="240" w:lineRule="exact"/>
        <w:ind w:hanging="274"/>
        <w:rPr>
          <w:szCs w:val="24"/>
        </w:rPr>
      </w:pPr>
      <w:r w:rsidRPr="0072374F">
        <w:rPr>
          <w:szCs w:val="24"/>
        </w:rPr>
        <w:t>o</w:t>
      </w:r>
      <w:r w:rsidRPr="0072374F">
        <w:rPr>
          <w:szCs w:val="24"/>
        </w:rPr>
        <w:tab/>
        <w:t xml:space="preserve">Grant Revenue includes amounts received to pay indirect costs. </w:t>
      </w:r>
    </w:p>
    <w:p w14:paraId="7454BE59" w14:textId="77777777" w:rsidR="0072374F" w:rsidRPr="0072374F" w:rsidRDefault="0072374F" w:rsidP="0072374F">
      <w:pPr>
        <w:pStyle w:val="BodyText"/>
        <w:spacing w:before="20" w:after="40"/>
        <w:ind w:left="720" w:hanging="274"/>
        <w:rPr>
          <w:szCs w:val="24"/>
        </w:rPr>
      </w:pPr>
      <w:r w:rsidRPr="0072374F">
        <w:rPr>
          <w:szCs w:val="24"/>
        </w:rPr>
        <w:t>o</w:t>
      </w:r>
      <w:r w:rsidRPr="0072374F">
        <w:rPr>
          <w:szCs w:val="24"/>
        </w:rPr>
        <w:tab/>
        <w:t xml:space="preserve">Amounts other than indirect cost that are passed through to other State accounting funds or agencies are </w:t>
      </w:r>
      <w:r w:rsidRPr="0072374F">
        <w:rPr>
          <w:b/>
          <w:szCs w:val="24"/>
        </w:rPr>
        <w:t>not</w:t>
      </w:r>
      <w:r w:rsidRPr="0072374F">
        <w:rPr>
          <w:szCs w:val="24"/>
        </w:rPr>
        <w:t xml:space="preserve"> Grant Revenue.</w:t>
      </w:r>
    </w:p>
    <w:p w14:paraId="72175ACF" w14:textId="77777777" w:rsidR="0072374F" w:rsidRPr="0072374F" w:rsidRDefault="0072374F" w:rsidP="0072374F">
      <w:pPr>
        <w:pStyle w:val="BodyText"/>
        <w:spacing w:before="20"/>
        <w:rPr>
          <w:szCs w:val="24"/>
        </w:rPr>
      </w:pPr>
      <w:r w:rsidRPr="0072374F">
        <w:rPr>
          <w:szCs w:val="24"/>
        </w:rPr>
        <w:t xml:space="preserve">Examples of grantors who provide funds to State agencies include the Federal Government, the Corporation for Public Broadcasting, and The Duke Endowment.  </w:t>
      </w:r>
    </w:p>
    <w:p w14:paraId="0503A86B" w14:textId="77777777" w:rsidR="0072374F" w:rsidRPr="0072374F" w:rsidRDefault="0072374F" w:rsidP="0072374F">
      <w:pPr>
        <w:pStyle w:val="BodyText"/>
        <w:keepNext/>
        <w:spacing w:before="60" w:after="20"/>
        <w:rPr>
          <w:i/>
          <w:szCs w:val="24"/>
        </w:rPr>
      </w:pPr>
      <w:r w:rsidRPr="0072374F">
        <w:rPr>
          <w:i/>
          <w:szCs w:val="24"/>
        </w:rPr>
        <w:t>Inventory</w:t>
      </w:r>
    </w:p>
    <w:p w14:paraId="7860D607" w14:textId="77777777" w:rsidR="0072374F" w:rsidRPr="0072374F" w:rsidRDefault="00666F8B" w:rsidP="00E16893">
      <w:pPr>
        <w:keepLines/>
        <w:spacing w:before="20" w:after="40" w:line="240" w:lineRule="exact"/>
        <w:rPr>
          <w:szCs w:val="24"/>
        </w:rPr>
      </w:pPr>
      <w:r>
        <w:rPr>
          <w:szCs w:val="24"/>
        </w:rPr>
        <w:t>L</w:t>
      </w:r>
      <w:r w:rsidR="00AB118D" w:rsidRPr="00AB118D">
        <w:rPr>
          <w:szCs w:val="24"/>
        </w:rPr>
        <w:t>and, buildings, construction in progress, equipment, and livestock held for breeding</w:t>
      </w:r>
      <w:r w:rsidR="002D5EB1">
        <w:rPr>
          <w:szCs w:val="24"/>
        </w:rPr>
        <w:t xml:space="preserve"> purposes are capital assets,</w:t>
      </w:r>
      <w:r w:rsidR="00AB118D" w:rsidRPr="00AB118D">
        <w:rPr>
          <w:szCs w:val="24"/>
        </w:rPr>
        <w:t xml:space="preserve"> </w:t>
      </w:r>
      <w:r w:rsidR="00AB118D" w:rsidRPr="00AB118D">
        <w:rPr>
          <w:szCs w:val="24"/>
          <w:u w:val="single"/>
        </w:rPr>
        <w:t>not</w:t>
      </w:r>
      <w:r w:rsidR="00AB118D" w:rsidRPr="00AB118D">
        <w:rPr>
          <w:szCs w:val="24"/>
        </w:rPr>
        <w:t xml:space="preserve"> inventory.  </w:t>
      </w:r>
    </w:p>
    <w:p w14:paraId="35FFBD7C" w14:textId="77777777" w:rsidR="0072374F" w:rsidRPr="0072374F" w:rsidRDefault="0072374F" w:rsidP="0072374F">
      <w:pPr>
        <w:pStyle w:val="BodyText"/>
        <w:keepNext/>
        <w:spacing w:before="60" w:after="20"/>
        <w:rPr>
          <w:i/>
          <w:szCs w:val="24"/>
        </w:rPr>
      </w:pPr>
      <w:r w:rsidRPr="0072374F">
        <w:rPr>
          <w:i/>
          <w:szCs w:val="24"/>
        </w:rPr>
        <w:t>Investments</w:t>
      </w:r>
    </w:p>
    <w:p w14:paraId="2F150A1A" w14:textId="77777777" w:rsidR="0072374F" w:rsidRPr="0072374F" w:rsidRDefault="0072374F" w:rsidP="0072374F">
      <w:pPr>
        <w:pStyle w:val="BodyText"/>
        <w:spacing w:before="20"/>
        <w:rPr>
          <w:szCs w:val="24"/>
        </w:rPr>
      </w:pPr>
      <w:r w:rsidRPr="0072374F">
        <w:rPr>
          <w:szCs w:val="24"/>
        </w:rPr>
        <w:t xml:space="preserve">The Investments held and managed by the State Treasurer's Office should not be included in the reporting packages received from the agencies as STO will directly convey the information required to the CGO.  Investments owned but managed and controlled by the agency may include marketable securities, savings accounts, certificates of deposit, money market certificates, or other financial instruments.  Insurance policies or other documents which are not negotiable instruments and therefore do not represent assets of the State should </w:t>
      </w:r>
      <w:r w:rsidRPr="0072374F">
        <w:rPr>
          <w:szCs w:val="24"/>
          <w:u w:val="single"/>
        </w:rPr>
        <w:t>not</w:t>
      </w:r>
      <w:r w:rsidRPr="0072374F">
        <w:rPr>
          <w:szCs w:val="24"/>
        </w:rPr>
        <w:t xml:space="preserve"> be included.  Report your agency's investments as well as any investments your agency holds as a trustee or agent for others.</w:t>
      </w:r>
    </w:p>
    <w:p w14:paraId="553148EF" w14:textId="77777777" w:rsidR="0072374F" w:rsidRPr="0072374F" w:rsidRDefault="0072374F" w:rsidP="0072374F">
      <w:pPr>
        <w:pStyle w:val="BodyText"/>
        <w:keepNext/>
        <w:spacing w:before="60" w:after="20"/>
        <w:rPr>
          <w:i/>
          <w:szCs w:val="24"/>
        </w:rPr>
      </w:pPr>
      <w:r w:rsidRPr="0072374F">
        <w:rPr>
          <w:i/>
          <w:szCs w:val="24"/>
        </w:rPr>
        <w:lastRenderedPageBreak/>
        <w:t>Litigation</w:t>
      </w:r>
    </w:p>
    <w:p w14:paraId="5EC7C939" w14:textId="77777777" w:rsidR="0072374F" w:rsidRPr="0072374F" w:rsidRDefault="0072374F" w:rsidP="0072374F">
      <w:pPr>
        <w:keepNext/>
        <w:spacing w:before="20" w:after="20"/>
        <w:rPr>
          <w:szCs w:val="24"/>
        </w:rPr>
      </w:pPr>
      <w:r w:rsidRPr="0072374F">
        <w:rPr>
          <w:szCs w:val="24"/>
        </w:rPr>
        <w:t>For reporting package purposes focus should be on:</w:t>
      </w:r>
    </w:p>
    <w:p w14:paraId="317F65BA" w14:textId="77777777" w:rsidR="0072374F" w:rsidRPr="0072374F" w:rsidRDefault="0072374F" w:rsidP="0072374F">
      <w:pPr>
        <w:pStyle w:val="Bullet10"/>
        <w:spacing w:before="20" w:after="20"/>
        <w:ind w:hanging="360"/>
        <w:rPr>
          <w:szCs w:val="24"/>
        </w:rPr>
      </w:pPr>
      <w:r w:rsidRPr="0072374F">
        <w:rPr>
          <w:szCs w:val="24"/>
        </w:rPr>
        <w:t>o</w:t>
      </w:r>
      <w:r w:rsidRPr="0072374F">
        <w:rPr>
          <w:szCs w:val="24"/>
        </w:rPr>
        <w:tab/>
        <w:t xml:space="preserve">Litigation matters that </w:t>
      </w:r>
      <w:proofErr w:type="gramStart"/>
      <w:r w:rsidRPr="0072374F">
        <w:rPr>
          <w:szCs w:val="24"/>
        </w:rPr>
        <w:t>at</w:t>
      </w:r>
      <w:proofErr w:type="gramEnd"/>
      <w:r w:rsidRPr="0072374F">
        <w:rPr>
          <w:szCs w:val="24"/>
        </w:rPr>
        <w:t xml:space="preserve"> June 30 will or may result in claims against the State's current or future resources.  This includes lawsuits that </w:t>
      </w:r>
      <w:proofErr w:type="gramStart"/>
      <w:r w:rsidRPr="0072374F">
        <w:rPr>
          <w:szCs w:val="24"/>
        </w:rPr>
        <w:t>at</w:t>
      </w:r>
      <w:proofErr w:type="gramEnd"/>
      <w:r w:rsidRPr="0072374F">
        <w:rPr>
          <w:szCs w:val="24"/>
        </w:rPr>
        <w:t xml:space="preserve"> June 30 are:</w:t>
      </w:r>
    </w:p>
    <w:p w14:paraId="7F6E5820" w14:textId="77777777" w:rsidR="0072374F" w:rsidRPr="0072374F" w:rsidRDefault="0072374F" w:rsidP="0072374F">
      <w:pPr>
        <w:pStyle w:val="Bullet2"/>
        <w:spacing w:before="20" w:after="20"/>
        <w:ind w:left="1170" w:hanging="450"/>
        <w:rPr>
          <w:szCs w:val="24"/>
        </w:rPr>
      </w:pPr>
      <w:r w:rsidRPr="0072374F">
        <w:rPr>
          <w:szCs w:val="24"/>
        </w:rPr>
        <w:t>--</w:t>
      </w:r>
      <w:r w:rsidRPr="0072374F">
        <w:rPr>
          <w:szCs w:val="24"/>
        </w:rPr>
        <w:tab/>
        <w:t>Settled but not yet paid.</w:t>
      </w:r>
    </w:p>
    <w:p w14:paraId="4737AF5F" w14:textId="77777777" w:rsidR="0072374F" w:rsidRPr="0072374F" w:rsidRDefault="0072374F" w:rsidP="0072374F">
      <w:pPr>
        <w:pStyle w:val="Bullet2"/>
        <w:spacing w:before="20" w:after="20"/>
        <w:ind w:left="1170" w:hanging="450"/>
        <w:rPr>
          <w:szCs w:val="24"/>
        </w:rPr>
      </w:pPr>
      <w:r w:rsidRPr="0072374F">
        <w:rPr>
          <w:szCs w:val="24"/>
        </w:rPr>
        <w:t>--</w:t>
      </w:r>
      <w:r w:rsidRPr="0072374F">
        <w:rPr>
          <w:szCs w:val="24"/>
        </w:rPr>
        <w:tab/>
        <w:t>In-progress.</w:t>
      </w:r>
    </w:p>
    <w:p w14:paraId="3E4FB125" w14:textId="77777777" w:rsidR="0072374F" w:rsidRPr="0072374F" w:rsidRDefault="0072374F" w:rsidP="0072374F">
      <w:pPr>
        <w:pStyle w:val="Bullet2"/>
        <w:spacing w:before="20" w:after="20"/>
        <w:ind w:left="1170" w:hanging="450"/>
        <w:rPr>
          <w:szCs w:val="24"/>
        </w:rPr>
      </w:pPr>
      <w:r w:rsidRPr="0072374F">
        <w:rPr>
          <w:szCs w:val="24"/>
        </w:rPr>
        <w:t>--</w:t>
      </w:r>
      <w:r w:rsidRPr="0072374F">
        <w:rPr>
          <w:szCs w:val="24"/>
        </w:rPr>
        <w:tab/>
        <w:t>Appealed or expected to be appealed.</w:t>
      </w:r>
    </w:p>
    <w:p w14:paraId="124BA5EC" w14:textId="77777777" w:rsidR="0072374F" w:rsidRPr="0072374F" w:rsidRDefault="0072374F" w:rsidP="0072374F">
      <w:pPr>
        <w:pStyle w:val="Bullet2"/>
        <w:spacing w:before="20" w:after="20"/>
        <w:ind w:left="1170" w:hanging="450"/>
        <w:rPr>
          <w:szCs w:val="24"/>
        </w:rPr>
      </w:pPr>
      <w:r w:rsidRPr="0072374F">
        <w:rPr>
          <w:szCs w:val="24"/>
        </w:rPr>
        <w:t>--</w:t>
      </w:r>
      <w:r w:rsidRPr="0072374F">
        <w:rPr>
          <w:szCs w:val="24"/>
        </w:rPr>
        <w:tab/>
        <w:t>Threatened.</w:t>
      </w:r>
    </w:p>
    <w:p w14:paraId="7B28FB2A" w14:textId="77777777" w:rsidR="0072374F" w:rsidRPr="0072374F" w:rsidRDefault="0072374F" w:rsidP="0072374F">
      <w:pPr>
        <w:pStyle w:val="Bullet10"/>
        <w:spacing w:before="20" w:after="20"/>
        <w:ind w:hanging="360"/>
        <w:rPr>
          <w:szCs w:val="24"/>
        </w:rPr>
      </w:pPr>
      <w:r w:rsidRPr="0072374F">
        <w:rPr>
          <w:szCs w:val="24"/>
        </w:rPr>
        <w:t>o</w:t>
      </w:r>
      <w:r w:rsidRPr="0072374F">
        <w:rPr>
          <w:szCs w:val="24"/>
        </w:rPr>
        <w:tab/>
        <w:t xml:space="preserve">Settled and in-progress lawsuits of the State against others </w:t>
      </w:r>
      <w:proofErr w:type="gramStart"/>
      <w:r w:rsidRPr="0072374F">
        <w:rPr>
          <w:szCs w:val="24"/>
        </w:rPr>
        <w:t>at</w:t>
      </w:r>
      <w:proofErr w:type="gramEnd"/>
      <w:r w:rsidRPr="0072374F">
        <w:rPr>
          <w:szCs w:val="24"/>
        </w:rPr>
        <w:t xml:space="preserve"> June 30 that probably will result in a gain to the State.</w:t>
      </w:r>
    </w:p>
    <w:p w14:paraId="6E386F71" w14:textId="77777777" w:rsidR="0072374F" w:rsidRPr="0072374F" w:rsidRDefault="0072374F" w:rsidP="0072374F">
      <w:pPr>
        <w:pStyle w:val="BodyText"/>
        <w:spacing w:before="20"/>
        <w:ind w:left="720" w:hanging="360"/>
        <w:rPr>
          <w:szCs w:val="24"/>
        </w:rPr>
      </w:pPr>
      <w:r w:rsidRPr="0072374F">
        <w:rPr>
          <w:szCs w:val="24"/>
        </w:rPr>
        <w:t>o</w:t>
      </w:r>
      <w:r w:rsidRPr="0072374F">
        <w:rPr>
          <w:szCs w:val="24"/>
        </w:rPr>
        <w:tab/>
        <w:t>Major changes in lawsuit status that occur in the six months after June 30 (July 1 through December 31).</w:t>
      </w:r>
    </w:p>
    <w:p w14:paraId="0618458E" w14:textId="77777777" w:rsidR="0072374F" w:rsidRPr="0072374F" w:rsidRDefault="0072374F" w:rsidP="0072374F">
      <w:pPr>
        <w:pStyle w:val="BodyText"/>
        <w:keepNext/>
        <w:spacing w:before="60" w:after="20"/>
        <w:rPr>
          <w:i/>
          <w:szCs w:val="24"/>
        </w:rPr>
      </w:pPr>
      <w:r w:rsidRPr="0072374F">
        <w:rPr>
          <w:i/>
          <w:szCs w:val="24"/>
        </w:rPr>
        <w:t>Loss Contingencies</w:t>
      </w:r>
    </w:p>
    <w:p w14:paraId="6C3103AB" w14:textId="77777777" w:rsidR="0072374F" w:rsidRPr="0072374F" w:rsidRDefault="0072374F" w:rsidP="0072374F">
      <w:pPr>
        <w:pStyle w:val="BodyText"/>
        <w:spacing w:before="20"/>
        <w:rPr>
          <w:szCs w:val="24"/>
        </w:rPr>
      </w:pPr>
      <w:r w:rsidRPr="0072374F">
        <w:rPr>
          <w:szCs w:val="24"/>
        </w:rPr>
        <w:t xml:space="preserve">Loss contingencies may result from litigation, grant audit disallowances, </w:t>
      </w:r>
      <w:r w:rsidR="0053308C">
        <w:rPr>
          <w:szCs w:val="24"/>
        </w:rPr>
        <w:t xml:space="preserve">penalties, </w:t>
      </w:r>
      <w:r w:rsidRPr="0072374F">
        <w:rPr>
          <w:szCs w:val="24"/>
        </w:rPr>
        <w:t>and uncollectible receivables.  Other reporting packages, however, cover these situations.  An example of a miscellaneous loss contingency is the potential loss resulting from guarantees of others' debts (loan guarantee programs).</w:t>
      </w:r>
    </w:p>
    <w:p w14:paraId="2F66A1F8" w14:textId="77777777" w:rsidR="0072374F" w:rsidRPr="0072374F" w:rsidRDefault="0072374F" w:rsidP="0072374F">
      <w:pPr>
        <w:pStyle w:val="BodyText"/>
        <w:keepNext/>
        <w:spacing w:before="60" w:after="20"/>
        <w:rPr>
          <w:i/>
          <w:szCs w:val="24"/>
        </w:rPr>
      </w:pPr>
      <w:r w:rsidRPr="0072374F">
        <w:rPr>
          <w:i/>
          <w:szCs w:val="24"/>
        </w:rPr>
        <w:t>Loss Liabilities</w:t>
      </w:r>
    </w:p>
    <w:p w14:paraId="0F6081D6" w14:textId="77777777" w:rsidR="0072374F" w:rsidRPr="0072374F" w:rsidRDefault="0072374F" w:rsidP="0072374F">
      <w:pPr>
        <w:pStyle w:val="BodyText"/>
        <w:spacing w:before="20"/>
        <w:rPr>
          <w:szCs w:val="24"/>
        </w:rPr>
      </w:pPr>
      <w:r w:rsidRPr="0072374F">
        <w:rPr>
          <w:szCs w:val="24"/>
        </w:rPr>
        <w:t>Examples of miscellaneous loss liabilities include known losses resulting from insurance deductibles or from guarantees of others' debts.</w:t>
      </w:r>
    </w:p>
    <w:p w14:paraId="0461A0F3" w14:textId="77777777" w:rsidR="0072374F" w:rsidRPr="0072374F" w:rsidRDefault="0072374F" w:rsidP="0072374F">
      <w:pPr>
        <w:pStyle w:val="BodyText"/>
        <w:keepNext/>
        <w:spacing w:before="60" w:after="20"/>
        <w:rPr>
          <w:i/>
          <w:szCs w:val="24"/>
        </w:rPr>
      </w:pPr>
      <w:r w:rsidRPr="0072374F">
        <w:rPr>
          <w:i/>
          <w:szCs w:val="24"/>
        </w:rPr>
        <w:t>Pass-Through Grants</w:t>
      </w:r>
    </w:p>
    <w:p w14:paraId="30683237" w14:textId="5A6A372D" w:rsidR="0072374F" w:rsidRPr="0072374F" w:rsidRDefault="0072374F" w:rsidP="00805B5D">
      <w:pPr>
        <w:pStyle w:val="BodyText"/>
        <w:spacing w:before="20"/>
        <w:rPr>
          <w:szCs w:val="24"/>
        </w:rPr>
      </w:pPr>
      <w:r w:rsidRPr="0072374F">
        <w:rPr>
          <w:szCs w:val="24"/>
        </w:rPr>
        <w:t xml:space="preserve">Distribution of grant funds by a </w:t>
      </w:r>
      <w:proofErr w:type="gramStart"/>
      <w:r w:rsidRPr="0072374F">
        <w:rPr>
          <w:szCs w:val="24"/>
        </w:rPr>
        <w:t>State</w:t>
      </w:r>
      <w:proofErr w:type="gramEnd"/>
      <w:r w:rsidRPr="0072374F">
        <w:rPr>
          <w:szCs w:val="24"/>
        </w:rPr>
        <w:t xml:space="preserve"> agency grant subrecipients (either State agencies or non-State organizations such as municipalities and counties) creates a pass-through grant.</w:t>
      </w:r>
      <w:r w:rsidR="00805B5D">
        <w:rPr>
          <w:szCs w:val="24"/>
        </w:rPr>
        <w:t xml:space="preserve"> </w:t>
      </w:r>
      <w:r w:rsidRPr="0072374F">
        <w:rPr>
          <w:szCs w:val="24"/>
        </w:rPr>
        <w:t>Grant funds used to pay State</w:t>
      </w:r>
      <w:r w:rsidR="00805B5D">
        <w:rPr>
          <w:szCs w:val="24"/>
        </w:rPr>
        <w:t xml:space="preserve"> </w:t>
      </w:r>
      <w:r w:rsidRPr="0072374F">
        <w:rPr>
          <w:szCs w:val="24"/>
        </w:rPr>
        <w:t xml:space="preserve">or non-State organizations under fee-for-service contracts (subcontracts) are </w:t>
      </w:r>
      <w:r w:rsidRPr="0072374F">
        <w:rPr>
          <w:b/>
          <w:szCs w:val="24"/>
          <w:u w:val="single"/>
        </w:rPr>
        <w:t>not</w:t>
      </w:r>
      <w:r w:rsidRPr="0072374F">
        <w:rPr>
          <w:szCs w:val="24"/>
        </w:rPr>
        <w:t xml:space="preserve"> pass-through grants.</w:t>
      </w:r>
    </w:p>
    <w:p w14:paraId="285B3AB4" w14:textId="77777777" w:rsidR="0072374F" w:rsidRPr="0072374F" w:rsidRDefault="0072374F" w:rsidP="0072374F">
      <w:pPr>
        <w:pStyle w:val="BodyText"/>
        <w:keepNext/>
        <w:spacing w:before="60" w:after="20"/>
        <w:rPr>
          <w:i/>
          <w:szCs w:val="24"/>
        </w:rPr>
      </w:pPr>
      <w:r w:rsidRPr="0072374F">
        <w:rPr>
          <w:i/>
          <w:szCs w:val="24"/>
        </w:rPr>
        <w:t>Revenue</w:t>
      </w:r>
    </w:p>
    <w:p w14:paraId="4EE7D33F" w14:textId="77777777" w:rsidR="0072374F" w:rsidRPr="0072374F" w:rsidRDefault="0072374F" w:rsidP="0072374F">
      <w:pPr>
        <w:keepNext/>
        <w:spacing w:before="20" w:after="20"/>
        <w:rPr>
          <w:szCs w:val="24"/>
        </w:rPr>
      </w:pPr>
      <w:r w:rsidRPr="0072374F">
        <w:rPr>
          <w:szCs w:val="24"/>
        </w:rPr>
        <w:t xml:space="preserve">For purposes of this reporting package, the following items are </w:t>
      </w:r>
      <w:r w:rsidRPr="0072374F">
        <w:rPr>
          <w:szCs w:val="24"/>
          <w:u w:val="words"/>
        </w:rPr>
        <w:t>not</w:t>
      </w:r>
      <w:r w:rsidRPr="0072374F">
        <w:rPr>
          <w:szCs w:val="24"/>
        </w:rPr>
        <w:t xml:space="preserve"> revenue:</w:t>
      </w:r>
    </w:p>
    <w:p w14:paraId="2E9FF925" w14:textId="77777777" w:rsidR="0072374F" w:rsidRPr="0072374F" w:rsidRDefault="0072374F" w:rsidP="0072374F">
      <w:pPr>
        <w:pStyle w:val="Bullet10"/>
        <w:keepNext/>
        <w:spacing w:before="40" w:after="40"/>
        <w:ind w:hanging="360"/>
        <w:rPr>
          <w:szCs w:val="24"/>
        </w:rPr>
      </w:pPr>
      <w:r w:rsidRPr="0072374F">
        <w:rPr>
          <w:szCs w:val="24"/>
        </w:rPr>
        <w:t>o</w:t>
      </w:r>
      <w:r w:rsidRPr="0072374F">
        <w:rPr>
          <w:szCs w:val="24"/>
        </w:rPr>
        <w:tab/>
        <w:t>State Appropriations.</w:t>
      </w:r>
    </w:p>
    <w:p w14:paraId="4A25D170" w14:textId="77777777" w:rsidR="0072374F" w:rsidRPr="0072374F" w:rsidRDefault="0072374F" w:rsidP="0072374F">
      <w:pPr>
        <w:pStyle w:val="Bullet10"/>
        <w:spacing w:before="40" w:after="40"/>
        <w:ind w:hanging="360"/>
        <w:rPr>
          <w:szCs w:val="24"/>
        </w:rPr>
      </w:pPr>
      <w:r w:rsidRPr="0072374F">
        <w:rPr>
          <w:szCs w:val="24"/>
        </w:rPr>
        <w:t>o</w:t>
      </w:r>
      <w:r w:rsidRPr="0072374F">
        <w:rPr>
          <w:szCs w:val="24"/>
        </w:rPr>
        <w:tab/>
        <w:t>Amounts received from other accounting funds or agencies within State government except for grant revenues passed through to your agency.</w:t>
      </w:r>
    </w:p>
    <w:p w14:paraId="27E09D17" w14:textId="77777777" w:rsidR="0072374F" w:rsidRPr="0072374F" w:rsidRDefault="0072374F" w:rsidP="0072374F">
      <w:pPr>
        <w:pStyle w:val="Bullet10"/>
        <w:spacing w:before="40" w:after="40"/>
        <w:ind w:hanging="360"/>
        <w:rPr>
          <w:szCs w:val="24"/>
        </w:rPr>
      </w:pPr>
      <w:r w:rsidRPr="0072374F">
        <w:rPr>
          <w:szCs w:val="24"/>
        </w:rPr>
        <w:t>o</w:t>
      </w:r>
      <w:r w:rsidRPr="0072374F">
        <w:rPr>
          <w:szCs w:val="24"/>
        </w:rPr>
        <w:tab/>
        <w:t>Bond or note proceeds.</w:t>
      </w:r>
    </w:p>
    <w:p w14:paraId="6EF7484E" w14:textId="77777777" w:rsidR="0072374F" w:rsidRPr="0072374F" w:rsidRDefault="0072374F" w:rsidP="0072374F">
      <w:pPr>
        <w:pStyle w:val="BodyText"/>
        <w:spacing w:before="20"/>
        <w:rPr>
          <w:szCs w:val="24"/>
        </w:rPr>
      </w:pPr>
      <w:r w:rsidRPr="0072374F">
        <w:rPr>
          <w:szCs w:val="24"/>
        </w:rPr>
        <w:t xml:space="preserve">(Also see Tax Revenue, Grants and Contribution Revenue, and </w:t>
      </w:r>
      <w:r w:rsidR="0044067C">
        <w:rPr>
          <w:szCs w:val="24"/>
        </w:rPr>
        <w:t>Unearned</w:t>
      </w:r>
      <w:r w:rsidRPr="0072374F">
        <w:rPr>
          <w:szCs w:val="24"/>
        </w:rPr>
        <w:t xml:space="preserve"> Revenue).</w:t>
      </w:r>
    </w:p>
    <w:p w14:paraId="1F9DC715" w14:textId="77777777" w:rsidR="0072374F" w:rsidRPr="0072374F" w:rsidRDefault="0072374F" w:rsidP="0072374F">
      <w:pPr>
        <w:pStyle w:val="BodyText"/>
        <w:keepNext/>
        <w:spacing w:before="60" w:after="20"/>
        <w:rPr>
          <w:i/>
          <w:szCs w:val="24"/>
        </w:rPr>
      </w:pPr>
      <w:r w:rsidRPr="0072374F">
        <w:rPr>
          <w:i/>
          <w:szCs w:val="24"/>
        </w:rPr>
        <w:t>Risk Management</w:t>
      </w:r>
    </w:p>
    <w:p w14:paraId="02EB3617" w14:textId="77777777" w:rsidR="0072374F" w:rsidRPr="0072374F" w:rsidRDefault="0072374F" w:rsidP="0072374F">
      <w:pPr>
        <w:keepNext/>
        <w:spacing w:before="20" w:after="20"/>
        <w:rPr>
          <w:szCs w:val="24"/>
        </w:rPr>
      </w:pPr>
      <w:r w:rsidRPr="0072374F">
        <w:rPr>
          <w:szCs w:val="24"/>
        </w:rPr>
        <w:t>Organizations are subject to risks of loss arising from events such as:</w:t>
      </w:r>
    </w:p>
    <w:p w14:paraId="1486D272" w14:textId="77777777" w:rsidR="0072374F" w:rsidRPr="0072374F" w:rsidRDefault="0072374F" w:rsidP="0072374F">
      <w:pPr>
        <w:pStyle w:val="Bullet10"/>
        <w:keepNext/>
        <w:spacing w:before="20" w:after="20"/>
        <w:ind w:hanging="360"/>
        <w:rPr>
          <w:szCs w:val="24"/>
        </w:rPr>
      </w:pPr>
      <w:r w:rsidRPr="0072374F">
        <w:rPr>
          <w:szCs w:val="24"/>
        </w:rPr>
        <w:t>o</w:t>
      </w:r>
      <w:r w:rsidRPr="0072374F">
        <w:rPr>
          <w:szCs w:val="24"/>
        </w:rPr>
        <w:tab/>
        <w:t>Damages to or destruction of assets from causes such as fire, natural disasters, theft, vandalism, etc.</w:t>
      </w:r>
    </w:p>
    <w:p w14:paraId="13441AD6" w14:textId="77777777" w:rsidR="0072374F" w:rsidRPr="0072374F" w:rsidRDefault="0072374F" w:rsidP="0072374F">
      <w:pPr>
        <w:pStyle w:val="Bullet10"/>
        <w:keepNext/>
        <w:spacing w:before="20" w:after="20"/>
        <w:ind w:hanging="360"/>
        <w:rPr>
          <w:szCs w:val="24"/>
        </w:rPr>
      </w:pPr>
      <w:r w:rsidRPr="0072374F">
        <w:rPr>
          <w:szCs w:val="24"/>
        </w:rPr>
        <w:t>o</w:t>
      </w:r>
      <w:r w:rsidRPr="0072374F">
        <w:rPr>
          <w:szCs w:val="24"/>
        </w:rPr>
        <w:tab/>
        <w:t>Injuries to employees.</w:t>
      </w:r>
    </w:p>
    <w:p w14:paraId="36C64FCC" w14:textId="77777777" w:rsidR="0072374F" w:rsidRPr="0072374F" w:rsidRDefault="0072374F" w:rsidP="0072374F">
      <w:pPr>
        <w:pStyle w:val="Bullet10"/>
        <w:spacing w:before="20" w:after="20"/>
        <w:ind w:hanging="360"/>
        <w:rPr>
          <w:szCs w:val="24"/>
        </w:rPr>
      </w:pPr>
      <w:r w:rsidRPr="0072374F">
        <w:rPr>
          <w:szCs w:val="24"/>
        </w:rPr>
        <w:t>o</w:t>
      </w:r>
      <w:r w:rsidRPr="0072374F">
        <w:rPr>
          <w:szCs w:val="24"/>
        </w:rPr>
        <w:tab/>
        <w:t xml:space="preserve">Torts (wrongful acts, injuries, or damage, not involving a breach of contract, for which civil actions can be brought).  </w:t>
      </w:r>
    </w:p>
    <w:p w14:paraId="70F00698" w14:textId="337842F0" w:rsidR="0072374F" w:rsidRPr="0072374F" w:rsidRDefault="0072374F" w:rsidP="0072374F">
      <w:pPr>
        <w:pStyle w:val="BodyText"/>
        <w:spacing w:before="20"/>
        <w:rPr>
          <w:szCs w:val="24"/>
        </w:rPr>
      </w:pPr>
      <w:r w:rsidRPr="0072374F">
        <w:rPr>
          <w:szCs w:val="24"/>
        </w:rPr>
        <w:t xml:space="preserve">Refer to Appendix </w:t>
      </w:r>
      <w:r w:rsidR="00842150">
        <w:rPr>
          <w:szCs w:val="24"/>
        </w:rPr>
        <w:t>C</w:t>
      </w:r>
      <w:r w:rsidRPr="0072374F">
        <w:rPr>
          <w:szCs w:val="24"/>
        </w:rPr>
        <w:t xml:space="preserve"> for a list of the State's risk management activities of which the Comptroller General's Office is currently aware.  (The Comptroller General's Office has determined that </w:t>
      </w:r>
      <w:proofErr w:type="gramStart"/>
      <w:r w:rsidRPr="0072374F">
        <w:rPr>
          <w:szCs w:val="24"/>
        </w:rPr>
        <w:t>the  SUPERB</w:t>
      </w:r>
      <w:proofErr w:type="gramEnd"/>
      <w:r w:rsidRPr="0072374F">
        <w:rPr>
          <w:szCs w:val="24"/>
        </w:rPr>
        <w:t xml:space="preserve"> Fund, the </w:t>
      </w:r>
      <w:r w:rsidRPr="0072374F">
        <w:rPr>
          <w:szCs w:val="24"/>
        </w:rPr>
        <w:lastRenderedPageBreak/>
        <w:t>SUPERB Financial Responsibility Fund, and the Department of Agriculture's Warehouse Receipts Guarantee Fund and the Grain Producers’ Guarantee Fund are State benefit programs as opposed to risk management activities.)</w:t>
      </w:r>
    </w:p>
    <w:p w14:paraId="4339EBFB" w14:textId="77777777" w:rsidR="0072374F" w:rsidRPr="0072374F" w:rsidRDefault="0072374F" w:rsidP="0072374F">
      <w:pPr>
        <w:pStyle w:val="BodyText"/>
        <w:keepNext/>
        <w:spacing w:before="60" w:after="20"/>
        <w:rPr>
          <w:i/>
          <w:szCs w:val="24"/>
        </w:rPr>
      </w:pPr>
      <w:r w:rsidRPr="0072374F">
        <w:rPr>
          <w:i/>
          <w:szCs w:val="24"/>
        </w:rPr>
        <w:t>Self-Insurance</w:t>
      </w:r>
    </w:p>
    <w:p w14:paraId="201ED247" w14:textId="77777777" w:rsidR="0072374F" w:rsidRPr="0072374F" w:rsidRDefault="0072374F" w:rsidP="0072374F">
      <w:pPr>
        <w:pStyle w:val="BodyText"/>
        <w:spacing w:before="20"/>
        <w:rPr>
          <w:szCs w:val="24"/>
        </w:rPr>
      </w:pPr>
      <w:r w:rsidRPr="0072374F">
        <w:rPr>
          <w:szCs w:val="24"/>
        </w:rPr>
        <w:t xml:space="preserve">An agency may </w:t>
      </w:r>
      <w:r w:rsidRPr="0072374F">
        <w:rPr>
          <w:i/>
          <w:szCs w:val="24"/>
        </w:rPr>
        <w:t>intentionally</w:t>
      </w:r>
      <w:r w:rsidRPr="0072374F">
        <w:rPr>
          <w:szCs w:val="24"/>
        </w:rPr>
        <w:t xml:space="preserve"> self-insure all or some of its risks or </w:t>
      </w:r>
      <w:r w:rsidRPr="0072374F">
        <w:rPr>
          <w:i/>
          <w:szCs w:val="24"/>
        </w:rPr>
        <w:t>unintentionally</w:t>
      </w:r>
      <w:r w:rsidRPr="0072374F">
        <w:rPr>
          <w:szCs w:val="24"/>
        </w:rPr>
        <w:t xml:space="preserve"> self-insure by under-insuring a risk of loss.  Self-insurance is </w:t>
      </w:r>
      <w:r w:rsidRPr="0072374F">
        <w:rPr>
          <w:szCs w:val="24"/>
          <w:u w:val="single"/>
        </w:rPr>
        <w:t>sometimes</w:t>
      </w:r>
      <w:r w:rsidRPr="0072374F">
        <w:rPr>
          <w:szCs w:val="24"/>
        </w:rPr>
        <w:t xml:space="preserve"> accompanied by the setting aside of assets to pay the costs of losses when they arise.  </w:t>
      </w:r>
      <w:proofErr w:type="gramStart"/>
      <w:r w:rsidRPr="0072374F">
        <w:rPr>
          <w:szCs w:val="24"/>
        </w:rPr>
        <w:t>In reality, self-insurance</w:t>
      </w:r>
      <w:proofErr w:type="gramEnd"/>
      <w:r w:rsidRPr="0072374F">
        <w:rPr>
          <w:szCs w:val="24"/>
        </w:rPr>
        <w:t xml:space="preserve"> is no insurance.</w:t>
      </w:r>
    </w:p>
    <w:p w14:paraId="5975BC51" w14:textId="77777777" w:rsidR="0072374F" w:rsidRPr="0072374F" w:rsidRDefault="0072374F" w:rsidP="0072374F">
      <w:pPr>
        <w:pStyle w:val="BodyText"/>
        <w:keepNext/>
        <w:spacing w:before="60" w:after="20"/>
        <w:rPr>
          <w:i/>
          <w:szCs w:val="24"/>
        </w:rPr>
      </w:pPr>
      <w:r w:rsidRPr="0072374F">
        <w:rPr>
          <w:i/>
          <w:szCs w:val="24"/>
        </w:rPr>
        <w:t>Special Termination Benefits</w:t>
      </w:r>
    </w:p>
    <w:p w14:paraId="14C6570E" w14:textId="77777777" w:rsidR="0072374F" w:rsidRPr="0072374F" w:rsidRDefault="0072374F" w:rsidP="0072374F">
      <w:pPr>
        <w:pStyle w:val="BodyText"/>
        <w:spacing w:before="20"/>
        <w:rPr>
          <w:szCs w:val="24"/>
        </w:rPr>
      </w:pPr>
      <w:r w:rsidRPr="0072374F">
        <w:rPr>
          <w:szCs w:val="24"/>
        </w:rPr>
        <w:t>For purposes of this reporting package, special termination benefits do not include routine State benefits such as retirement and other post-employment benefits.</w:t>
      </w:r>
    </w:p>
    <w:p w14:paraId="18066F95" w14:textId="77777777" w:rsidR="0072374F" w:rsidRPr="0072374F" w:rsidRDefault="0072374F" w:rsidP="0072374F">
      <w:pPr>
        <w:pStyle w:val="BodyText"/>
        <w:keepNext/>
        <w:spacing w:before="60" w:after="20"/>
        <w:rPr>
          <w:i/>
          <w:szCs w:val="24"/>
        </w:rPr>
      </w:pPr>
      <w:r w:rsidRPr="0072374F">
        <w:rPr>
          <w:i/>
          <w:szCs w:val="24"/>
        </w:rPr>
        <w:t>Tax Revenue</w:t>
      </w:r>
    </w:p>
    <w:p w14:paraId="49F36325" w14:textId="77777777" w:rsidR="0072374F" w:rsidRPr="0072374F" w:rsidRDefault="0072374F" w:rsidP="0072374F">
      <w:pPr>
        <w:keepNext/>
        <w:spacing w:before="20" w:after="20"/>
        <w:rPr>
          <w:szCs w:val="24"/>
        </w:rPr>
      </w:pPr>
      <w:r w:rsidRPr="0072374F">
        <w:rPr>
          <w:szCs w:val="24"/>
        </w:rPr>
        <w:t>Some examples of tax revenues include:</w:t>
      </w:r>
    </w:p>
    <w:p w14:paraId="192F6F3D" w14:textId="77777777" w:rsidR="0072374F" w:rsidRPr="0072374F" w:rsidRDefault="0072374F" w:rsidP="0072374F">
      <w:pPr>
        <w:pStyle w:val="Bullet10"/>
        <w:keepNext/>
        <w:spacing w:before="20" w:after="20"/>
        <w:ind w:hanging="360"/>
        <w:rPr>
          <w:szCs w:val="24"/>
        </w:rPr>
      </w:pPr>
      <w:r w:rsidRPr="0072374F">
        <w:rPr>
          <w:szCs w:val="24"/>
        </w:rPr>
        <w:t>o</w:t>
      </w:r>
      <w:r w:rsidRPr="0072374F">
        <w:rPr>
          <w:szCs w:val="24"/>
        </w:rPr>
        <w:tab/>
        <w:t>Alcoholic liquors, beer, and wine taxes.</w:t>
      </w:r>
    </w:p>
    <w:p w14:paraId="4BCB471C" w14:textId="77777777" w:rsidR="0072374F" w:rsidRPr="0072374F" w:rsidRDefault="0072374F" w:rsidP="0072374F">
      <w:pPr>
        <w:pStyle w:val="Bullet10"/>
        <w:keepNext/>
        <w:spacing w:before="20" w:after="20"/>
        <w:ind w:hanging="360"/>
        <w:rPr>
          <w:szCs w:val="24"/>
        </w:rPr>
      </w:pPr>
      <w:r w:rsidRPr="0072374F">
        <w:rPr>
          <w:szCs w:val="24"/>
        </w:rPr>
        <w:t>o</w:t>
      </w:r>
      <w:r w:rsidRPr="0072374F">
        <w:rPr>
          <w:szCs w:val="24"/>
        </w:rPr>
        <w:tab/>
        <w:t>Business license taxes.</w:t>
      </w:r>
    </w:p>
    <w:p w14:paraId="5073CFBE" w14:textId="77777777" w:rsidR="0072374F" w:rsidRPr="0072374F" w:rsidRDefault="0072374F" w:rsidP="0072374F">
      <w:pPr>
        <w:pStyle w:val="Bullet10"/>
        <w:keepNext/>
        <w:spacing w:before="20" w:after="20"/>
        <w:ind w:hanging="360"/>
        <w:rPr>
          <w:szCs w:val="24"/>
        </w:rPr>
      </w:pPr>
      <w:r w:rsidRPr="0072374F">
        <w:rPr>
          <w:szCs w:val="24"/>
        </w:rPr>
        <w:t>o</w:t>
      </w:r>
      <w:r w:rsidRPr="0072374F">
        <w:rPr>
          <w:szCs w:val="24"/>
        </w:rPr>
        <w:tab/>
        <w:t>Gasoline and motor vehicle taxes.</w:t>
      </w:r>
    </w:p>
    <w:p w14:paraId="05F58C4F" w14:textId="77777777" w:rsidR="0072374F" w:rsidRPr="0072374F" w:rsidRDefault="0072374F" w:rsidP="0072374F">
      <w:pPr>
        <w:pStyle w:val="Bullet10"/>
        <w:keepNext/>
        <w:spacing w:before="20" w:after="20"/>
        <w:ind w:hanging="360"/>
        <w:rPr>
          <w:szCs w:val="24"/>
        </w:rPr>
      </w:pPr>
      <w:r w:rsidRPr="0072374F">
        <w:rPr>
          <w:szCs w:val="24"/>
        </w:rPr>
        <w:t>o</w:t>
      </w:r>
      <w:r w:rsidRPr="0072374F">
        <w:rPr>
          <w:szCs w:val="24"/>
        </w:rPr>
        <w:tab/>
        <w:t>Individual and corporate income taxes.</w:t>
      </w:r>
    </w:p>
    <w:p w14:paraId="381475D6" w14:textId="77777777" w:rsidR="0072374F" w:rsidRPr="0072374F" w:rsidRDefault="0072374F" w:rsidP="0072374F">
      <w:pPr>
        <w:pStyle w:val="Bullet10"/>
        <w:spacing w:before="20" w:after="20"/>
        <w:ind w:hanging="360"/>
        <w:rPr>
          <w:szCs w:val="24"/>
        </w:rPr>
      </w:pPr>
      <w:r w:rsidRPr="0072374F">
        <w:rPr>
          <w:szCs w:val="24"/>
        </w:rPr>
        <w:t>o</w:t>
      </w:r>
      <w:r w:rsidRPr="0072374F">
        <w:rPr>
          <w:szCs w:val="24"/>
        </w:rPr>
        <w:tab/>
        <w:t>Insurance taxes.</w:t>
      </w:r>
    </w:p>
    <w:p w14:paraId="03F962FF" w14:textId="77777777" w:rsidR="0072374F" w:rsidRPr="0072374F" w:rsidRDefault="0072374F" w:rsidP="0072374F">
      <w:pPr>
        <w:pStyle w:val="Bullet10"/>
        <w:spacing w:before="20" w:after="80"/>
        <w:ind w:hanging="360"/>
        <w:rPr>
          <w:szCs w:val="24"/>
        </w:rPr>
      </w:pPr>
      <w:r w:rsidRPr="0072374F">
        <w:rPr>
          <w:szCs w:val="24"/>
        </w:rPr>
        <w:t>o</w:t>
      </w:r>
      <w:r w:rsidRPr="0072374F">
        <w:rPr>
          <w:szCs w:val="24"/>
        </w:rPr>
        <w:tab/>
        <w:t>Sales and use taxes.</w:t>
      </w:r>
    </w:p>
    <w:p w14:paraId="1157725C" w14:textId="77777777" w:rsidR="0072374F" w:rsidRPr="0072374F" w:rsidRDefault="0072374F" w:rsidP="0072374F">
      <w:pPr>
        <w:spacing w:before="40" w:after="20"/>
        <w:rPr>
          <w:szCs w:val="24"/>
        </w:rPr>
      </w:pPr>
      <w:r w:rsidRPr="0072374F">
        <w:rPr>
          <w:szCs w:val="24"/>
        </w:rPr>
        <w:t xml:space="preserve">For purposes of this reporting package, the following are </w:t>
      </w:r>
      <w:r w:rsidRPr="0072374F">
        <w:rPr>
          <w:szCs w:val="24"/>
          <w:u w:val="words"/>
        </w:rPr>
        <w:t>not</w:t>
      </w:r>
      <w:r w:rsidRPr="0072374F">
        <w:rPr>
          <w:szCs w:val="24"/>
        </w:rPr>
        <w:t xml:space="preserve"> tax revenues to your agency:</w:t>
      </w:r>
    </w:p>
    <w:p w14:paraId="62CADCDB" w14:textId="77777777" w:rsidR="0072374F" w:rsidRPr="0072374F" w:rsidRDefault="0072374F" w:rsidP="0072374F">
      <w:pPr>
        <w:pStyle w:val="Bullet10"/>
        <w:spacing w:before="20" w:after="20"/>
        <w:rPr>
          <w:szCs w:val="24"/>
        </w:rPr>
      </w:pPr>
      <w:r w:rsidRPr="0072374F">
        <w:rPr>
          <w:szCs w:val="24"/>
        </w:rPr>
        <w:t>o</w:t>
      </w:r>
      <w:r w:rsidRPr="0072374F">
        <w:rPr>
          <w:szCs w:val="24"/>
        </w:rPr>
        <w:tab/>
        <w:t xml:space="preserve">Taxes that another State agency transfers to your agency.   These are interfund transactions. </w:t>
      </w:r>
    </w:p>
    <w:p w14:paraId="1B87A88F" w14:textId="77777777" w:rsidR="0072374F" w:rsidRPr="0072374F" w:rsidRDefault="0072374F" w:rsidP="0072374F">
      <w:pPr>
        <w:pStyle w:val="Bullet10"/>
        <w:spacing w:before="20" w:after="20"/>
        <w:ind w:left="990" w:right="864" w:firstLine="0"/>
        <w:rPr>
          <w:szCs w:val="24"/>
        </w:rPr>
      </w:pPr>
      <w:r w:rsidRPr="0072374F">
        <w:rPr>
          <w:b/>
          <w:szCs w:val="24"/>
        </w:rPr>
        <w:t>Example</w:t>
      </w:r>
      <w:r w:rsidRPr="0072374F">
        <w:rPr>
          <w:szCs w:val="24"/>
        </w:rPr>
        <w:t>:  The Department of Revenue collects the 1% Sales Tax for the Education Improvement Act.  It then transfers this revenue to the Department of Education.  The Department of Revenue reports its collections as tax revenues.  The Department of Education will not report any tax revenues.</w:t>
      </w:r>
    </w:p>
    <w:p w14:paraId="3E5A381D" w14:textId="77777777" w:rsidR="0072374F" w:rsidRPr="0072374F" w:rsidRDefault="0072374F" w:rsidP="0072374F">
      <w:pPr>
        <w:pStyle w:val="Bullet10"/>
        <w:spacing w:before="20" w:after="20"/>
        <w:rPr>
          <w:szCs w:val="24"/>
        </w:rPr>
      </w:pPr>
      <w:r w:rsidRPr="0072374F">
        <w:rPr>
          <w:szCs w:val="24"/>
        </w:rPr>
        <w:t>o</w:t>
      </w:r>
      <w:r w:rsidRPr="0072374F">
        <w:rPr>
          <w:szCs w:val="24"/>
        </w:rPr>
        <w:tab/>
        <w:t>Sales taxes the agency collects on the sale of goods and remits to the South Carolina Department of Revenue.  The Comptroller General’s Office obtains all reporting information for sales taxes from the Department of Revenue.</w:t>
      </w:r>
    </w:p>
    <w:p w14:paraId="262772EC" w14:textId="77777777" w:rsidR="0012040B" w:rsidRDefault="004C29D2" w:rsidP="003B02BA">
      <w:pPr>
        <w:pStyle w:val="Heading2"/>
      </w:pPr>
      <w:bookmarkStart w:id="170" w:name="_Toc166149243"/>
      <w:r>
        <w:t>Section 2.0</w:t>
      </w:r>
      <w:r w:rsidRPr="00290DC2">
        <w:t xml:space="preserve"> </w:t>
      </w:r>
      <w:r>
        <w:t>PRELIMINARY EVALUATION</w:t>
      </w:r>
      <w:bookmarkEnd w:id="170"/>
    </w:p>
    <w:p w14:paraId="52709F06" w14:textId="77777777" w:rsidR="00914D43" w:rsidRDefault="004C29D2">
      <w:pPr>
        <w:spacing w:before="0" w:after="0"/>
        <w:rPr>
          <w:szCs w:val="24"/>
        </w:rPr>
      </w:pPr>
      <w:r>
        <w:rPr>
          <w:szCs w:val="24"/>
        </w:rPr>
        <w:t>The Master Reporting Package Checklist is designed to assist Management of the agency in the evaluation of operational transactions and activity throughout the year and at year-end which require reporting.  The year-end reporting process begins prior to the year-end closing process with the evaluation of the financial information available from operations throughout the year.  This evaluation is performed to determine the procedures necessary to capture, record, and report the transactions appropriately in compliance with laws, regulations, terms and conditions, and policies of the agency and the State of South Carolina.  Based on the evaluation a plan should be developed to identify the additional procedures needed during year-end close which will clean up the books and records in compliance with policy for a clean and accurate start of the new year while capturing the information necessary for reporting.</w:t>
      </w:r>
    </w:p>
    <w:p w14:paraId="45919A79" w14:textId="77777777" w:rsidR="00914D43" w:rsidRDefault="00914D43">
      <w:pPr>
        <w:spacing w:before="0" w:after="0"/>
        <w:rPr>
          <w:szCs w:val="24"/>
        </w:rPr>
      </w:pPr>
    </w:p>
    <w:p w14:paraId="7DDFE001" w14:textId="77777777" w:rsidR="00914D43" w:rsidRDefault="00740559">
      <w:pPr>
        <w:tabs>
          <w:tab w:val="left" w:pos="540"/>
        </w:tabs>
        <w:spacing w:before="0" w:after="0"/>
        <w:rPr>
          <w:color w:val="000000"/>
          <w:szCs w:val="24"/>
        </w:rPr>
      </w:pPr>
      <w:r w:rsidRPr="00740559">
        <w:rPr>
          <w:color w:val="000000"/>
          <w:szCs w:val="24"/>
        </w:rPr>
        <w:t>Use of the Trial Balance as a control:</w:t>
      </w:r>
    </w:p>
    <w:p w14:paraId="10A19495" w14:textId="77777777" w:rsidR="00914D43" w:rsidRDefault="00740559">
      <w:pPr>
        <w:tabs>
          <w:tab w:val="left" w:pos="540"/>
        </w:tabs>
        <w:spacing w:before="0" w:after="0"/>
        <w:rPr>
          <w:color w:val="000000"/>
          <w:szCs w:val="24"/>
        </w:rPr>
      </w:pPr>
      <w:r w:rsidRPr="00740559">
        <w:rPr>
          <w:color w:val="000000"/>
          <w:szCs w:val="24"/>
        </w:rPr>
        <w:lastRenderedPageBreak/>
        <w:tab/>
        <w:t xml:space="preserve">A trial balance provides </w:t>
      </w:r>
      <w:r>
        <w:rPr>
          <w:color w:val="000000"/>
          <w:szCs w:val="24"/>
        </w:rPr>
        <w:t xml:space="preserve">a summary of </w:t>
      </w:r>
      <w:r w:rsidRPr="00740559">
        <w:rPr>
          <w:color w:val="000000"/>
          <w:szCs w:val="24"/>
        </w:rPr>
        <w:t>the results of the transaction processing for the period through which the report</w:t>
      </w:r>
      <w:r>
        <w:rPr>
          <w:color w:val="000000"/>
          <w:szCs w:val="24"/>
        </w:rPr>
        <w:t xml:space="preserve"> </w:t>
      </w:r>
      <w:r w:rsidRPr="00740559">
        <w:rPr>
          <w:color w:val="000000"/>
          <w:szCs w:val="24"/>
        </w:rPr>
        <w:t>is generated.  The objective of internal control is the prevention of and detection within a timely period</w:t>
      </w:r>
      <w:r>
        <w:rPr>
          <w:color w:val="000000"/>
          <w:szCs w:val="24"/>
        </w:rPr>
        <w:t xml:space="preserve"> </w:t>
      </w:r>
      <w:r w:rsidRPr="00740559">
        <w:rPr>
          <w:color w:val="000000"/>
          <w:szCs w:val="24"/>
        </w:rPr>
        <w:t>of errors, omissions, and irregularities in the recording and reporting of transactions.  A review of the</w:t>
      </w:r>
      <w:r>
        <w:rPr>
          <w:color w:val="000000"/>
          <w:szCs w:val="24"/>
        </w:rPr>
        <w:t xml:space="preserve"> </w:t>
      </w:r>
      <w:r w:rsidRPr="00740559">
        <w:rPr>
          <w:color w:val="000000"/>
          <w:szCs w:val="24"/>
        </w:rPr>
        <w:t>results of the process in a timely manner is essential to achieve the objective of internal control.</w:t>
      </w:r>
    </w:p>
    <w:p w14:paraId="21CDC251" w14:textId="77777777" w:rsidR="00914D43" w:rsidRDefault="004965FF" w:rsidP="005C2F33">
      <w:pPr>
        <w:pStyle w:val="ListParagraph"/>
        <w:numPr>
          <w:ilvl w:val="0"/>
          <w:numId w:val="35"/>
        </w:numPr>
        <w:tabs>
          <w:tab w:val="left" w:pos="540"/>
        </w:tabs>
        <w:spacing w:before="0" w:after="0"/>
        <w:rPr>
          <w:color w:val="000000"/>
          <w:szCs w:val="24"/>
        </w:rPr>
      </w:pPr>
      <w:r w:rsidRPr="004965FF">
        <w:rPr>
          <w:color w:val="000000"/>
          <w:szCs w:val="24"/>
        </w:rPr>
        <w:t>Overview of Operations - The trial balance should be run at a minimum at the agency level to identify any obvious errors in the results of recording and reporting transactions.</w:t>
      </w:r>
      <w:r w:rsidR="005A0756">
        <w:rPr>
          <w:color w:val="000000"/>
          <w:szCs w:val="24"/>
        </w:rPr>
        <w:t xml:space="preserve">  </w:t>
      </w:r>
    </w:p>
    <w:p w14:paraId="6DA45B04" w14:textId="4A0B7175" w:rsidR="00914D43" w:rsidRDefault="004965FF" w:rsidP="005C2F33">
      <w:pPr>
        <w:pStyle w:val="ListParagraph"/>
        <w:numPr>
          <w:ilvl w:val="0"/>
          <w:numId w:val="35"/>
        </w:numPr>
        <w:tabs>
          <w:tab w:val="left" w:pos="540"/>
        </w:tabs>
        <w:spacing w:before="0" w:after="0"/>
        <w:rPr>
          <w:color w:val="000000"/>
          <w:szCs w:val="24"/>
        </w:rPr>
      </w:pPr>
      <w:r w:rsidRPr="004965FF">
        <w:rPr>
          <w:color w:val="000000"/>
          <w:szCs w:val="24"/>
        </w:rPr>
        <w:t xml:space="preserve">Evaluation for Financial Reporting - For Year-End Reporting Packages and other annual reporting an evaluation at the accounting fund (the level at which information will be reported) is required to identify errors, omissions, irregularities, or areas where additional analysis is required.  It should be used by supervisors to refresh the knowledge of the accounting </w:t>
      </w:r>
      <w:r w:rsidR="00776402" w:rsidRPr="004965FF">
        <w:rPr>
          <w:color w:val="000000"/>
          <w:szCs w:val="24"/>
        </w:rPr>
        <w:t>effect</w:t>
      </w:r>
      <w:r w:rsidRPr="004965FF">
        <w:rPr>
          <w:color w:val="000000"/>
          <w:szCs w:val="24"/>
        </w:rPr>
        <w:t xml:space="preserve"> of operational transactions for which oversight of details was delegated during the period of review.  This evaluation can also provide identification of information required and requested by the users of your annual reporting.  </w:t>
      </w:r>
    </w:p>
    <w:p w14:paraId="55448E21" w14:textId="77777777" w:rsidR="00914D43" w:rsidRDefault="00740559" w:rsidP="005C2F33">
      <w:pPr>
        <w:pStyle w:val="ListParagraph"/>
        <w:numPr>
          <w:ilvl w:val="0"/>
          <w:numId w:val="35"/>
        </w:numPr>
        <w:tabs>
          <w:tab w:val="left" w:pos="540"/>
        </w:tabs>
        <w:spacing w:before="0" w:after="0"/>
        <w:rPr>
          <w:color w:val="000000"/>
          <w:szCs w:val="24"/>
        </w:rPr>
      </w:pPr>
      <w:r>
        <w:rPr>
          <w:color w:val="000000"/>
          <w:szCs w:val="24"/>
        </w:rPr>
        <w:t xml:space="preserve">Managerial Decisions - </w:t>
      </w:r>
      <w:r w:rsidR="004965FF" w:rsidRPr="004965FF">
        <w:rPr>
          <w:color w:val="000000"/>
          <w:szCs w:val="24"/>
        </w:rPr>
        <w:t>For managerial purposes the evaluation and review should be performed at minimum to the level of detail that management has identified risks.  Risk assessment is an essential part of internal control and provides direction as to the areas where resources should be expended to increase control procedures and emphasis for processing should be focused.  Overtime management may be able to focus the managerial review to specific general ledger accounts or cost centers or funded programs.</w:t>
      </w:r>
    </w:p>
    <w:p w14:paraId="420D748F" w14:textId="77777777" w:rsidR="00914D43" w:rsidRDefault="005A0756" w:rsidP="005C2F33">
      <w:pPr>
        <w:pStyle w:val="ListParagraph"/>
        <w:numPr>
          <w:ilvl w:val="0"/>
          <w:numId w:val="35"/>
        </w:numPr>
        <w:tabs>
          <w:tab w:val="left" w:pos="540"/>
        </w:tabs>
        <w:spacing w:before="0" w:after="0"/>
        <w:rPr>
          <w:color w:val="000000"/>
          <w:szCs w:val="24"/>
        </w:rPr>
      </w:pPr>
      <w:r>
        <w:rPr>
          <w:color w:val="000000"/>
          <w:szCs w:val="24"/>
        </w:rPr>
        <w:t xml:space="preserve">Other Reporting Requirements – For other reporting requirements such as grants reporting, a review of the balances and activity in the general ledgers by grant awards would provide internal control procedures for timely identification of errors and omissions. </w:t>
      </w:r>
    </w:p>
    <w:p w14:paraId="193D735C" w14:textId="77777777" w:rsidR="00914D43" w:rsidRDefault="00914D43">
      <w:pPr>
        <w:spacing w:before="0" w:after="0"/>
        <w:rPr>
          <w:szCs w:val="24"/>
        </w:rPr>
      </w:pPr>
    </w:p>
    <w:p w14:paraId="657F48FE" w14:textId="77777777" w:rsidR="00914D43" w:rsidRDefault="00914D43">
      <w:pPr>
        <w:spacing w:before="0" w:after="0"/>
        <w:rPr>
          <w:szCs w:val="24"/>
        </w:rPr>
      </w:pPr>
    </w:p>
    <w:p w14:paraId="5F20176E" w14:textId="77777777" w:rsidR="0012040B" w:rsidRDefault="004C29D2" w:rsidP="003B02BA">
      <w:pPr>
        <w:pStyle w:val="Heading2"/>
      </w:pPr>
      <w:bookmarkStart w:id="171" w:name="_Toc166149244"/>
      <w:r>
        <w:t>Section 2.1</w:t>
      </w:r>
      <w:r w:rsidRPr="00290DC2">
        <w:t xml:space="preserve"> </w:t>
      </w:r>
      <w:r>
        <w:t>FINAL EVALUATION</w:t>
      </w:r>
      <w:bookmarkEnd w:id="171"/>
    </w:p>
    <w:p w14:paraId="6D2FCB06" w14:textId="77777777" w:rsidR="004C29D2" w:rsidRDefault="00DF0540" w:rsidP="00B53E30">
      <w:pPr>
        <w:spacing w:before="0" w:after="0"/>
        <w:rPr>
          <w:szCs w:val="24"/>
        </w:rPr>
      </w:pPr>
      <w:r>
        <w:rPr>
          <w:szCs w:val="24"/>
        </w:rPr>
        <w:t xml:space="preserve">A second evaluation should be performed by Management of the agency at the end of the year-end close process.  This evaluation determines if the plan for year-end close-out identified </w:t>
      </w:r>
      <w:proofErr w:type="gramStart"/>
      <w:r>
        <w:rPr>
          <w:szCs w:val="24"/>
        </w:rPr>
        <w:t>all of</w:t>
      </w:r>
      <w:proofErr w:type="gramEnd"/>
      <w:r>
        <w:rPr>
          <w:szCs w:val="24"/>
        </w:rPr>
        <w:t xml:space="preserve"> the circumstances that require additional analysis, entry, and treatment for compliance with laws, regulations, terms and conditions, and policies of the agency and the State of South Carolina.  The Subsequent Event Reporting Package is designed to assist Management of the agency in this final evaluation.  It identifies information that must be provided to the Comptroller General's Office for achievement of accuracy and completeness in financial reporting.  </w:t>
      </w:r>
    </w:p>
    <w:p w14:paraId="5D8C8CE1" w14:textId="77777777" w:rsidR="00DF0540" w:rsidRDefault="00DF0540" w:rsidP="00B53E30">
      <w:pPr>
        <w:spacing w:before="0" w:after="0"/>
        <w:rPr>
          <w:szCs w:val="24"/>
        </w:rPr>
      </w:pPr>
    </w:p>
    <w:p w14:paraId="74057C8F" w14:textId="77777777" w:rsidR="00E8587D" w:rsidRPr="00E8587D" w:rsidRDefault="00DF0540" w:rsidP="00B53E30">
      <w:pPr>
        <w:spacing w:before="0" w:after="0"/>
        <w:rPr>
          <w:szCs w:val="24"/>
        </w:rPr>
      </w:pPr>
      <w:r>
        <w:rPr>
          <w:szCs w:val="24"/>
        </w:rPr>
        <w:t xml:space="preserve">Subsequent Events are situations </w:t>
      </w:r>
      <w:r w:rsidR="00E8587D">
        <w:rPr>
          <w:szCs w:val="24"/>
        </w:rPr>
        <w:t xml:space="preserve">and transactions </w:t>
      </w:r>
      <w:r>
        <w:rPr>
          <w:szCs w:val="24"/>
        </w:rPr>
        <w:t xml:space="preserve">identified </w:t>
      </w:r>
      <w:r w:rsidR="00E8587D" w:rsidRPr="00E8587D">
        <w:rPr>
          <w:szCs w:val="24"/>
        </w:rPr>
        <w:t xml:space="preserve">that affect </w:t>
      </w:r>
      <w:r w:rsidR="00C3203F">
        <w:rPr>
          <w:szCs w:val="24"/>
        </w:rPr>
        <w:t xml:space="preserve">balances and amounts reported in </w:t>
      </w:r>
      <w:r w:rsidR="00E8587D" w:rsidRPr="00E8587D">
        <w:rPr>
          <w:szCs w:val="24"/>
        </w:rPr>
        <w:t xml:space="preserve">the financial statements </w:t>
      </w:r>
      <w:r w:rsidR="00E8587D">
        <w:rPr>
          <w:szCs w:val="24"/>
        </w:rPr>
        <w:t xml:space="preserve">but </w:t>
      </w:r>
      <w:r w:rsidR="00E8587D" w:rsidRPr="00E8587D">
        <w:rPr>
          <w:szCs w:val="24"/>
        </w:rPr>
        <w:t xml:space="preserve">occur </w:t>
      </w:r>
      <w:proofErr w:type="gramStart"/>
      <w:r w:rsidR="00E8587D" w:rsidRPr="00E8587D">
        <w:rPr>
          <w:szCs w:val="24"/>
        </w:rPr>
        <w:t>subsequent to</w:t>
      </w:r>
      <w:proofErr w:type="gramEnd"/>
      <w:r w:rsidR="00E8587D" w:rsidRPr="00E8587D">
        <w:rPr>
          <w:szCs w:val="24"/>
        </w:rPr>
        <w:t xml:space="preserve"> </w:t>
      </w:r>
      <w:r w:rsidR="00E8587D">
        <w:rPr>
          <w:szCs w:val="24"/>
        </w:rPr>
        <w:t xml:space="preserve">year-end.  If knowledge of the event is obtained </w:t>
      </w:r>
      <w:r w:rsidR="00E8587D" w:rsidRPr="00E8587D">
        <w:rPr>
          <w:szCs w:val="24"/>
        </w:rPr>
        <w:t xml:space="preserve">before </w:t>
      </w:r>
      <w:r w:rsidR="00E8587D">
        <w:rPr>
          <w:szCs w:val="24"/>
        </w:rPr>
        <w:t xml:space="preserve">the </w:t>
      </w:r>
      <w:r w:rsidR="00E8587D" w:rsidRPr="00E8587D">
        <w:rPr>
          <w:szCs w:val="24"/>
        </w:rPr>
        <w:t>financial statements are issued</w:t>
      </w:r>
      <w:r w:rsidR="00E8587D">
        <w:rPr>
          <w:szCs w:val="24"/>
        </w:rPr>
        <w:t xml:space="preserve"> the information must be evaluated for appropriate treatment</w:t>
      </w:r>
      <w:r w:rsidR="00E8587D" w:rsidRPr="00E8587D">
        <w:rPr>
          <w:szCs w:val="24"/>
        </w:rPr>
        <w:t xml:space="preserve">. </w:t>
      </w:r>
      <w:r w:rsidR="00E8587D">
        <w:rPr>
          <w:szCs w:val="24"/>
        </w:rPr>
        <w:t xml:space="preserve"> R</w:t>
      </w:r>
      <w:r w:rsidR="00E8587D" w:rsidRPr="00E8587D">
        <w:rPr>
          <w:szCs w:val="24"/>
        </w:rPr>
        <w:t xml:space="preserve">ecognized </w:t>
      </w:r>
      <w:r w:rsidR="00E8587D" w:rsidRPr="00E8587D">
        <w:rPr>
          <w:szCs w:val="24"/>
        </w:rPr>
        <w:lastRenderedPageBreak/>
        <w:t>events</w:t>
      </w:r>
      <w:r w:rsidR="00E8587D">
        <w:rPr>
          <w:rStyle w:val="FootnoteReference"/>
          <w:szCs w:val="24"/>
        </w:rPr>
        <w:footnoteReference w:id="2"/>
      </w:r>
      <w:r w:rsidR="00E8587D" w:rsidRPr="00E8587D">
        <w:rPr>
          <w:szCs w:val="24"/>
        </w:rPr>
        <w:t xml:space="preserve"> require adjustments to the financial statements while </w:t>
      </w:r>
      <w:proofErr w:type="spellStart"/>
      <w:r w:rsidR="00E8587D">
        <w:rPr>
          <w:szCs w:val="24"/>
        </w:rPr>
        <w:t>N</w:t>
      </w:r>
      <w:r w:rsidR="00E8587D" w:rsidRPr="00E8587D">
        <w:rPr>
          <w:szCs w:val="24"/>
        </w:rPr>
        <w:t>onrecognized</w:t>
      </w:r>
      <w:proofErr w:type="spellEnd"/>
      <w:r w:rsidR="00E8587D" w:rsidRPr="00E8587D">
        <w:rPr>
          <w:szCs w:val="24"/>
        </w:rPr>
        <w:t xml:space="preserve"> events</w:t>
      </w:r>
      <w:r w:rsidR="00E8587D">
        <w:rPr>
          <w:rStyle w:val="FootnoteReference"/>
          <w:szCs w:val="24"/>
        </w:rPr>
        <w:footnoteReference w:id="3"/>
      </w:r>
      <w:r w:rsidR="00E8587D" w:rsidRPr="00E8587D">
        <w:rPr>
          <w:szCs w:val="24"/>
        </w:rPr>
        <w:t xml:space="preserve"> may require disclosure in the notes to the financial statements</w:t>
      </w:r>
      <w:r w:rsidR="00460788">
        <w:rPr>
          <w:rStyle w:val="FootnoteReference"/>
          <w:szCs w:val="24"/>
        </w:rPr>
        <w:footnoteReference w:id="4"/>
      </w:r>
      <w:r w:rsidR="00E8587D" w:rsidRPr="00E8587D">
        <w:rPr>
          <w:szCs w:val="24"/>
        </w:rPr>
        <w:t>.</w:t>
      </w:r>
    </w:p>
    <w:p w14:paraId="11887E93" w14:textId="77777777" w:rsidR="00E8587D" w:rsidRDefault="00E8587D" w:rsidP="00B53E30">
      <w:pPr>
        <w:spacing w:before="0" w:after="0"/>
        <w:rPr>
          <w:szCs w:val="24"/>
        </w:rPr>
      </w:pPr>
    </w:p>
    <w:p w14:paraId="3C6C945C" w14:textId="77777777" w:rsidR="00914D43" w:rsidRDefault="00E8587D" w:rsidP="00B53E30">
      <w:pPr>
        <w:keepLines/>
        <w:spacing w:before="0" w:after="0"/>
        <w:rPr>
          <w:szCs w:val="24"/>
        </w:rPr>
      </w:pPr>
      <w:r w:rsidRPr="00E8587D">
        <w:rPr>
          <w:szCs w:val="24"/>
        </w:rPr>
        <w:t>Subsequent events affecting the realization of assets such as receivables and inventories or the settlement of estimated liabilities will ordinarily require adjustment of the financial statements because such events typically represent the culmination of conditions that existed over a relatively long period of time.</w:t>
      </w:r>
      <w:r>
        <w:rPr>
          <w:rStyle w:val="FootnoteReference"/>
          <w:szCs w:val="24"/>
        </w:rPr>
        <w:footnoteReference w:id="5"/>
      </w:r>
      <w:r w:rsidRPr="00E8587D">
        <w:rPr>
          <w:szCs w:val="24"/>
        </w:rPr>
        <w:t xml:space="preserve"> </w:t>
      </w:r>
      <w:r>
        <w:rPr>
          <w:szCs w:val="24"/>
        </w:rPr>
        <w:t xml:space="preserve">  E</w:t>
      </w:r>
      <w:r w:rsidRPr="00E8587D">
        <w:rPr>
          <w:szCs w:val="24"/>
        </w:rPr>
        <w:t xml:space="preserve">xamples of </w:t>
      </w:r>
      <w:proofErr w:type="spellStart"/>
      <w:r w:rsidRPr="00E8587D">
        <w:rPr>
          <w:szCs w:val="24"/>
        </w:rPr>
        <w:t>nonrecognized</w:t>
      </w:r>
      <w:proofErr w:type="spellEnd"/>
      <w:r w:rsidRPr="00E8587D">
        <w:rPr>
          <w:szCs w:val="24"/>
        </w:rPr>
        <w:t xml:space="preserve"> events that require disclosure in the notes to the financial statements but should not result in adjustment include the issuance of bonds, the creation of a new component unit, or the loss of a government facility as a result of a tornado, fire, or flood.</w:t>
      </w:r>
    </w:p>
    <w:p w14:paraId="2C8467C9" w14:textId="77777777" w:rsidR="00AD33F9" w:rsidRDefault="00AD33F9" w:rsidP="00B53E30">
      <w:pPr>
        <w:spacing w:before="0" w:after="0"/>
        <w:rPr>
          <w:szCs w:val="24"/>
        </w:rPr>
      </w:pPr>
    </w:p>
    <w:p w14:paraId="6E8E661B" w14:textId="77777777" w:rsidR="00AD33F9" w:rsidRDefault="00AD33F9" w:rsidP="00B53E30">
      <w:pPr>
        <w:spacing w:before="0" w:after="0"/>
        <w:rPr>
          <w:szCs w:val="24"/>
        </w:rPr>
      </w:pPr>
      <w:r>
        <w:rPr>
          <w:szCs w:val="24"/>
        </w:rPr>
        <w:t>In addition, a</w:t>
      </w:r>
      <w:r w:rsidR="00E8587D" w:rsidRPr="00E8587D">
        <w:rPr>
          <w:szCs w:val="24"/>
        </w:rPr>
        <w:t xml:space="preserve"> discussion </w:t>
      </w:r>
      <w:r>
        <w:rPr>
          <w:szCs w:val="24"/>
        </w:rPr>
        <w:t xml:space="preserve">is required </w:t>
      </w:r>
      <w:r w:rsidR="00E8587D" w:rsidRPr="00E8587D">
        <w:rPr>
          <w:szCs w:val="24"/>
        </w:rPr>
        <w:t xml:space="preserve">in management’s discussion and analysis (MD&amp;A) of currently known facts, decisions, or conditions that are expected to have a significant effect on the government’s financial position or results of operations. </w:t>
      </w:r>
      <w:r>
        <w:rPr>
          <w:szCs w:val="24"/>
        </w:rPr>
        <w:t xml:space="preserve"> </w:t>
      </w:r>
    </w:p>
    <w:p w14:paraId="67EFFCB6" w14:textId="77777777" w:rsidR="00AD33F9" w:rsidRDefault="00AD33F9" w:rsidP="00B53E30">
      <w:pPr>
        <w:spacing w:before="0" w:after="0"/>
        <w:rPr>
          <w:szCs w:val="24"/>
        </w:rPr>
      </w:pPr>
    </w:p>
    <w:p w14:paraId="7CBEC953" w14:textId="77777777" w:rsidR="004C29D2" w:rsidRDefault="00AD33F9" w:rsidP="00B53E30">
      <w:pPr>
        <w:spacing w:before="0" w:after="0"/>
        <w:rPr>
          <w:szCs w:val="24"/>
        </w:rPr>
      </w:pPr>
      <w:r>
        <w:rPr>
          <w:szCs w:val="24"/>
        </w:rPr>
        <w:t xml:space="preserve">Information relating to </w:t>
      </w:r>
      <w:r w:rsidR="00E8587D" w:rsidRPr="00E8587D">
        <w:rPr>
          <w:szCs w:val="24"/>
        </w:rPr>
        <w:t xml:space="preserve">subsequent events </w:t>
      </w:r>
      <w:r>
        <w:rPr>
          <w:szCs w:val="24"/>
        </w:rPr>
        <w:t xml:space="preserve">at the agencies is important for adequate and complete information in the statements, disclosures, and </w:t>
      </w:r>
      <w:r w:rsidR="00E8587D" w:rsidRPr="00E8587D">
        <w:rPr>
          <w:szCs w:val="24"/>
        </w:rPr>
        <w:t>MD&amp;A</w:t>
      </w:r>
      <w:r>
        <w:rPr>
          <w:szCs w:val="24"/>
        </w:rPr>
        <w:t>.</w:t>
      </w:r>
      <w:r w:rsidR="00E8587D" w:rsidRPr="00E8587D">
        <w:rPr>
          <w:szCs w:val="24"/>
        </w:rPr>
        <w:t xml:space="preserve"> </w:t>
      </w:r>
    </w:p>
    <w:p w14:paraId="3E3E74FB" w14:textId="77777777" w:rsidR="0072374F" w:rsidRDefault="0072374F" w:rsidP="00B53E30">
      <w:pPr>
        <w:spacing w:before="0" w:after="0"/>
        <w:rPr>
          <w:szCs w:val="24"/>
        </w:rPr>
      </w:pPr>
      <w:r>
        <w:rPr>
          <w:szCs w:val="24"/>
        </w:rPr>
        <w:br w:type="page"/>
      </w:r>
    </w:p>
    <w:p w14:paraId="7D1A9686" w14:textId="77777777" w:rsidR="0072374F" w:rsidRPr="004E2FC5" w:rsidRDefault="0072374F" w:rsidP="00645391">
      <w:pPr>
        <w:pStyle w:val="Heading1"/>
        <w:rPr>
          <w:u w:val="single"/>
        </w:rPr>
      </w:pPr>
      <w:bookmarkStart w:id="172" w:name="_Toc296021534"/>
      <w:bookmarkStart w:id="173" w:name="_Toc296235426"/>
      <w:bookmarkStart w:id="174" w:name="_Toc296235527"/>
      <w:bookmarkStart w:id="175" w:name="_Toc296247811"/>
      <w:bookmarkStart w:id="176" w:name="_Toc166149245"/>
      <w:r w:rsidRPr="004E2FC5">
        <w:lastRenderedPageBreak/>
        <w:t>PART III FINANCIAL STATEMENT ELEMENTS</w:t>
      </w:r>
      <w:bookmarkEnd w:id="172"/>
      <w:bookmarkEnd w:id="173"/>
      <w:bookmarkEnd w:id="174"/>
      <w:bookmarkEnd w:id="175"/>
      <w:bookmarkEnd w:id="176"/>
    </w:p>
    <w:p w14:paraId="000D8E9E" w14:textId="77777777" w:rsidR="0012040B" w:rsidRDefault="0058150D" w:rsidP="003B02BA">
      <w:pPr>
        <w:pStyle w:val="Heading2"/>
      </w:pPr>
      <w:bookmarkStart w:id="177" w:name="_Toc296021446"/>
      <w:bookmarkStart w:id="178" w:name="_Toc296021535"/>
      <w:bookmarkStart w:id="179" w:name="_Toc296235427"/>
      <w:bookmarkStart w:id="180" w:name="_Toc296235528"/>
      <w:bookmarkStart w:id="181" w:name="_Toc296247812"/>
      <w:bookmarkStart w:id="182" w:name="_Toc166149246"/>
      <w:r>
        <w:t>Section _.1 Cash a</w:t>
      </w:r>
      <w:r w:rsidRPr="0058150D">
        <w:t>nd Investments</w:t>
      </w:r>
      <w:bookmarkEnd w:id="177"/>
      <w:bookmarkEnd w:id="178"/>
      <w:bookmarkEnd w:id="179"/>
      <w:bookmarkEnd w:id="180"/>
      <w:bookmarkEnd w:id="181"/>
      <w:bookmarkEnd w:id="182"/>
    </w:p>
    <w:p w14:paraId="2324E14C" w14:textId="77777777" w:rsidR="007152DC" w:rsidRPr="0099749D" w:rsidRDefault="004E2FC5" w:rsidP="007152DC">
      <w:pPr>
        <w:pStyle w:val="BodyText"/>
        <w:keepNext/>
        <w:keepLines/>
        <w:rPr>
          <w:szCs w:val="24"/>
        </w:rPr>
      </w:pPr>
      <w:r>
        <w:rPr>
          <w:szCs w:val="24"/>
        </w:rPr>
        <w:t>GAAP</w:t>
      </w:r>
      <w:r w:rsidR="007152DC" w:rsidRPr="0099749D">
        <w:rPr>
          <w:szCs w:val="24"/>
        </w:rPr>
        <w:t xml:space="preserve"> require that the State's balance sheet include all cash and investments under State control at midnight, June 30.  This includes all:</w:t>
      </w:r>
    </w:p>
    <w:p w14:paraId="58E3E64B" w14:textId="77777777" w:rsidR="007152DC" w:rsidRPr="0099749D" w:rsidRDefault="007152DC" w:rsidP="007152DC">
      <w:pPr>
        <w:pStyle w:val="Bullet10"/>
        <w:keepNext/>
        <w:rPr>
          <w:szCs w:val="24"/>
        </w:rPr>
      </w:pPr>
      <w:r w:rsidRPr="0099749D">
        <w:rPr>
          <w:szCs w:val="24"/>
        </w:rPr>
        <w:t>o</w:t>
      </w:r>
      <w:r w:rsidRPr="0099749D">
        <w:rPr>
          <w:szCs w:val="24"/>
        </w:rPr>
        <w:tab/>
        <w:t>Cash and investments that the State or its agencies own.</w:t>
      </w:r>
    </w:p>
    <w:p w14:paraId="3A06AFE0" w14:textId="77777777" w:rsidR="007152DC" w:rsidRPr="0099749D" w:rsidRDefault="007152DC" w:rsidP="007152DC">
      <w:pPr>
        <w:pStyle w:val="Bullet10"/>
        <w:rPr>
          <w:szCs w:val="24"/>
        </w:rPr>
      </w:pPr>
      <w:r w:rsidRPr="0099749D">
        <w:rPr>
          <w:szCs w:val="24"/>
        </w:rPr>
        <w:t>o</w:t>
      </w:r>
      <w:r w:rsidRPr="0099749D">
        <w:rPr>
          <w:szCs w:val="24"/>
        </w:rPr>
        <w:tab/>
        <w:t>Cash and investments that the State or its agencies hold as trustee or agent for others.</w:t>
      </w:r>
    </w:p>
    <w:p w14:paraId="2D95FC0B" w14:textId="77777777" w:rsidR="007152DC" w:rsidRPr="0099749D" w:rsidRDefault="007152DC" w:rsidP="007152DC">
      <w:pPr>
        <w:pStyle w:val="BodyText"/>
        <w:rPr>
          <w:szCs w:val="24"/>
        </w:rPr>
      </w:pPr>
      <w:r w:rsidRPr="0099749D">
        <w:rPr>
          <w:szCs w:val="24"/>
        </w:rPr>
        <w:t xml:space="preserve">The Treasurer's Office will provide data to the Comptroller General's Office regarding balances under State Treasurer's Office control.  Agencies will provide data regarding cash and investments not under direct State Treasurer's Office control as identified above.  </w:t>
      </w:r>
    </w:p>
    <w:p w14:paraId="6DF2F966" w14:textId="77777777" w:rsidR="007152DC" w:rsidRPr="0099749D" w:rsidRDefault="007152DC" w:rsidP="007152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9749D">
        <w:rPr>
          <w:szCs w:val="24"/>
        </w:rPr>
        <w:t xml:space="preserve">Agencies will report cash and investments on June 30 that is: </w:t>
      </w:r>
    </w:p>
    <w:p w14:paraId="1D56C23B" w14:textId="27ACB4C6" w:rsidR="007152DC" w:rsidRPr="0099749D" w:rsidRDefault="007152DC" w:rsidP="007152DC">
      <w:pPr>
        <w:pStyle w:val="Bullet10"/>
        <w:keepNext/>
        <w:rPr>
          <w:szCs w:val="24"/>
        </w:rPr>
      </w:pPr>
      <w:r w:rsidRPr="0099749D">
        <w:rPr>
          <w:szCs w:val="24"/>
        </w:rPr>
        <w:t>o</w:t>
      </w:r>
      <w:r w:rsidRPr="0099749D">
        <w:rPr>
          <w:szCs w:val="24"/>
        </w:rPr>
        <w:tab/>
        <w:t>On</w:t>
      </w:r>
      <w:r w:rsidR="00E17F2B">
        <w:rPr>
          <w:szCs w:val="24"/>
        </w:rPr>
        <w:t>-</w:t>
      </w:r>
      <w:r w:rsidRPr="0099749D">
        <w:rPr>
          <w:szCs w:val="24"/>
        </w:rPr>
        <w:t>hand.</w:t>
      </w:r>
    </w:p>
    <w:p w14:paraId="246614CC" w14:textId="279FE3A0" w:rsidR="007152DC" w:rsidRPr="0099749D" w:rsidRDefault="007152DC" w:rsidP="007152DC">
      <w:pPr>
        <w:pStyle w:val="Bullet10"/>
        <w:keepNext/>
        <w:rPr>
          <w:szCs w:val="24"/>
        </w:rPr>
      </w:pPr>
      <w:r w:rsidRPr="0099749D">
        <w:rPr>
          <w:szCs w:val="24"/>
        </w:rPr>
        <w:t>o</w:t>
      </w:r>
      <w:r w:rsidRPr="0099749D">
        <w:rPr>
          <w:szCs w:val="24"/>
        </w:rPr>
        <w:tab/>
        <w:t>On</w:t>
      </w:r>
      <w:r w:rsidR="00E17F2B">
        <w:rPr>
          <w:szCs w:val="24"/>
        </w:rPr>
        <w:t>-</w:t>
      </w:r>
      <w:r w:rsidRPr="0099749D">
        <w:rPr>
          <w:szCs w:val="24"/>
        </w:rPr>
        <w:t>deposit in financial institutions.</w:t>
      </w:r>
    </w:p>
    <w:p w14:paraId="7B3894E5" w14:textId="77777777" w:rsidR="007152DC" w:rsidRDefault="007152DC" w:rsidP="007152DC">
      <w:pPr>
        <w:pStyle w:val="Bullet10"/>
        <w:rPr>
          <w:szCs w:val="24"/>
        </w:rPr>
      </w:pPr>
      <w:r w:rsidRPr="0099749D">
        <w:rPr>
          <w:szCs w:val="24"/>
        </w:rPr>
        <w:t>o</w:t>
      </w:r>
      <w:r w:rsidRPr="0099749D">
        <w:rPr>
          <w:szCs w:val="24"/>
        </w:rPr>
        <w:tab/>
        <w:t>Held in trust by a financial institution or other party for the agency or State.</w:t>
      </w:r>
    </w:p>
    <w:p w14:paraId="44B51DA3" w14:textId="77777777" w:rsidR="000816ED" w:rsidRPr="0099749D" w:rsidRDefault="000816ED" w:rsidP="007152DC">
      <w:pPr>
        <w:pStyle w:val="Bullet10"/>
        <w:rPr>
          <w:szCs w:val="24"/>
        </w:rPr>
      </w:pPr>
      <w:r w:rsidRPr="0099749D">
        <w:rPr>
          <w:szCs w:val="24"/>
        </w:rPr>
        <w:t>o</w:t>
      </w:r>
      <w:r w:rsidRPr="0099749D">
        <w:rPr>
          <w:szCs w:val="24"/>
        </w:rPr>
        <w:tab/>
      </w:r>
      <w:r>
        <w:rPr>
          <w:szCs w:val="24"/>
        </w:rPr>
        <w:t>Composite reservoir balances.</w:t>
      </w:r>
    </w:p>
    <w:p w14:paraId="733EC736" w14:textId="77777777" w:rsidR="007152DC" w:rsidRPr="0099749D" w:rsidRDefault="007152DC" w:rsidP="007152DC">
      <w:pPr>
        <w:rPr>
          <w:szCs w:val="24"/>
        </w:rPr>
      </w:pPr>
      <w:r w:rsidRPr="0099749D">
        <w:rPr>
          <w:szCs w:val="24"/>
        </w:rPr>
        <w:t>The State’s policy is to present its financial statements in accordance with GAAP.  GAAP standards relating to the accounting and reporting of investments</w:t>
      </w:r>
      <w:r w:rsidR="00FA1C25">
        <w:rPr>
          <w:rStyle w:val="FootnoteReference"/>
          <w:szCs w:val="24"/>
        </w:rPr>
        <w:footnoteReference w:id="6"/>
      </w:r>
      <w:r w:rsidRPr="0099749D">
        <w:rPr>
          <w:szCs w:val="24"/>
        </w:rPr>
        <w:t xml:space="preserve"> include Governmental Accounting Standards Board (GASB) Statement 31, “Accounting and Financial Reporting for Certain Investments and for External Investment Pools.”  In accordance with GASB Statement 31, the State values its securities and other instruments held for investment purposes at </w:t>
      </w:r>
      <w:r w:rsidRPr="0099749D">
        <w:rPr>
          <w:szCs w:val="24"/>
          <w:u w:val="single"/>
        </w:rPr>
        <w:t>fair value</w:t>
      </w:r>
      <w:r w:rsidRPr="0099749D">
        <w:rPr>
          <w:szCs w:val="24"/>
        </w:rPr>
        <w:t xml:space="preserve">.  GASB Statement 52, “Land and Other Real Estate Held as Investments by Endowments,” requires land and other real estate held as investments by endowments to be reported at </w:t>
      </w:r>
      <w:r w:rsidRPr="0099749D">
        <w:rPr>
          <w:szCs w:val="24"/>
          <w:u w:val="single"/>
        </w:rPr>
        <w:t>fair value</w:t>
      </w:r>
      <w:r w:rsidRPr="0099749D">
        <w:rPr>
          <w:szCs w:val="24"/>
        </w:rPr>
        <w:t>.</w:t>
      </w:r>
    </w:p>
    <w:p w14:paraId="4A6D4A05" w14:textId="4013F9BA" w:rsidR="007152DC" w:rsidRPr="0099749D" w:rsidRDefault="007152DC" w:rsidP="007152DC">
      <w:pPr>
        <w:rPr>
          <w:szCs w:val="24"/>
        </w:rPr>
      </w:pPr>
      <w:r w:rsidRPr="0099749D">
        <w:rPr>
          <w:szCs w:val="24"/>
        </w:rPr>
        <w:t xml:space="preserve">If the fair value of any investment reported is based on </w:t>
      </w:r>
      <w:r w:rsidRPr="0099749D">
        <w:rPr>
          <w:szCs w:val="24"/>
          <w:u w:val="single"/>
        </w:rPr>
        <w:t>other than quoted market prices</w:t>
      </w:r>
      <w:r w:rsidRPr="0099749D">
        <w:rPr>
          <w:szCs w:val="24"/>
        </w:rPr>
        <w:t xml:space="preserve">, </w:t>
      </w:r>
      <w:r w:rsidR="00CB4176">
        <w:rPr>
          <w:szCs w:val="24"/>
        </w:rPr>
        <w:t>the</w:t>
      </w:r>
      <w:r w:rsidRPr="0099749D">
        <w:rPr>
          <w:szCs w:val="24"/>
        </w:rPr>
        <w:t xml:space="preserve"> agency must </w:t>
      </w:r>
      <w:r w:rsidR="00E832D0">
        <w:rPr>
          <w:szCs w:val="24"/>
        </w:rPr>
        <w:t xml:space="preserve">provide </w:t>
      </w:r>
      <w:r w:rsidRPr="0099749D">
        <w:rPr>
          <w:szCs w:val="24"/>
        </w:rPr>
        <w:t xml:space="preserve">(as an attachment to </w:t>
      </w:r>
      <w:r w:rsidR="00805B5D">
        <w:rPr>
          <w:szCs w:val="24"/>
        </w:rPr>
        <w:t>the reporting package</w:t>
      </w:r>
      <w:r w:rsidRPr="0099749D">
        <w:rPr>
          <w:szCs w:val="24"/>
        </w:rPr>
        <w:t xml:space="preserve">) the method and significant assumptions used to </w:t>
      </w:r>
      <w:r w:rsidRPr="0099749D">
        <w:rPr>
          <w:szCs w:val="24"/>
          <w:u w:val="single"/>
        </w:rPr>
        <w:t>estimate</w:t>
      </w:r>
      <w:r w:rsidRPr="0099749D">
        <w:rPr>
          <w:szCs w:val="24"/>
        </w:rPr>
        <w:t xml:space="preserve"> the fair value.</w:t>
      </w:r>
    </w:p>
    <w:p w14:paraId="5DBD6EC4" w14:textId="77777777" w:rsidR="0072374F" w:rsidRPr="0099749D" w:rsidRDefault="0072374F" w:rsidP="0072374F">
      <w:pPr>
        <w:rPr>
          <w:szCs w:val="24"/>
        </w:rPr>
      </w:pPr>
    </w:p>
    <w:p w14:paraId="474F43F2" w14:textId="77777777" w:rsidR="0012040B" w:rsidRDefault="0058150D" w:rsidP="003B02BA">
      <w:pPr>
        <w:pStyle w:val="Heading2"/>
      </w:pPr>
      <w:bookmarkStart w:id="183" w:name="_Toc296021447"/>
      <w:bookmarkStart w:id="184" w:name="_Toc296021536"/>
      <w:bookmarkStart w:id="185" w:name="_Toc296235428"/>
      <w:bookmarkStart w:id="186" w:name="_Toc296235529"/>
      <w:bookmarkStart w:id="187" w:name="_Toc296247813"/>
      <w:bookmarkStart w:id="188" w:name="_Toc166149247"/>
      <w:r w:rsidRPr="0099749D">
        <w:t>Section _.2 Tax Revenues</w:t>
      </w:r>
      <w:bookmarkEnd w:id="183"/>
      <w:bookmarkEnd w:id="184"/>
      <w:bookmarkEnd w:id="185"/>
      <w:bookmarkEnd w:id="186"/>
      <w:bookmarkEnd w:id="187"/>
      <w:bookmarkEnd w:id="188"/>
    </w:p>
    <w:p w14:paraId="46EE8696" w14:textId="77777777" w:rsidR="007152DC" w:rsidRPr="0099749D" w:rsidRDefault="007152DC" w:rsidP="007152DC">
      <w:pPr>
        <w:spacing w:after="60"/>
        <w:rPr>
          <w:szCs w:val="24"/>
        </w:rPr>
      </w:pPr>
      <w:r w:rsidRPr="0099749D">
        <w:rPr>
          <w:szCs w:val="24"/>
        </w:rPr>
        <w:t xml:space="preserve">GAAP relating to tax revenues appear in: </w:t>
      </w:r>
    </w:p>
    <w:p w14:paraId="47AE0301" w14:textId="77777777" w:rsidR="007152DC" w:rsidRPr="0099749D" w:rsidRDefault="007152DC" w:rsidP="00E619A1">
      <w:pPr>
        <w:widowControl w:val="0"/>
        <w:numPr>
          <w:ilvl w:val="0"/>
          <w:numId w:val="2"/>
        </w:numPr>
        <w:spacing w:before="60" w:after="60" w:line="240" w:lineRule="exact"/>
        <w:rPr>
          <w:szCs w:val="24"/>
        </w:rPr>
      </w:pPr>
      <w:r w:rsidRPr="0099749D">
        <w:rPr>
          <w:szCs w:val="24"/>
        </w:rPr>
        <w:t xml:space="preserve">Governmental Accounting Standards Board Statement No. 33, (GASB 33) </w:t>
      </w:r>
      <w:r w:rsidRPr="0099749D">
        <w:rPr>
          <w:i/>
          <w:iCs/>
          <w:szCs w:val="24"/>
        </w:rPr>
        <w:t>Accounting and Financial Reporting for Nonexchange Transactions</w:t>
      </w:r>
      <w:r w:rsidRPr="0099749D">
        <w:rPr>
          <w:szCs w:val="24"/>
        </w:rPr>
        <w:t xml:space="preserve">.  </w:t>
      </w:r>
    </w:p>
    <w:p w14:paraId="79B62762" w14:textId="77777777" w:rsidR="007152DC" w:rsidRPr="0099749D" w:rsidRDefault="007152DC" w:rsidP="00E619A1">
      <w:pPr>
        <w:widowControl w:val="0"/>
        <w:numPr>
          <w:ilvl w:val="0"/>
          <w:numId w:val="1"/>
        </w:numPr>
        <w:spacing w:before="60" w:after="60" w:line="240" w:lineRule="exact"/>
        <w:rPr>
          <w:i/>
          <w:szCs w:val="24"/>
        </w:rPr>
      </w:pPr>
      <w:r w:rsidRPr="0099749D">
        <w:rPr>
          <w:i/>
          <w:szCs w:val="24"/>
        </w:rPr>
        <w:t xml:space="preserve">Codification of Governmental Accounting and Financial Reporting Standards, </w:t>
      </w:r>
      <w:r w:rsidRPr="0099749D">
        <w:rPr>
          <w:iCs/>
          <w:szCs w:val="24"/>
        </w:rPr>
        <w:t>Section N50</w:t>
      </w:r>
      <w:r w:rsidRPr="0099749D">
        <w:rPr>
          <w:i/>
          <w:szCs w:val="24"/>
        </w:rPr>
        <w:t>.</w:t>
      </w:r>
    </w:p>
    <w:p w14:paraId="5C11DBA0" w14:textId="77777777" w:rsidR="007152DC" w:rsidRPr="0099749D" w:rsidRDefault="007152DC" w:rsidP="00E619A1">
      <w:pPr>
        <w:widowControl w:val="0"/>
        <w:numPr>
          <w:ilvl w:val="0"/>
          <w:numId w:val="1"/>
        </w:numPr>
        <w:spacing w:before="60" w:line="240" w:lineRule="exact"/>
        <w:rPr>
          <w:szCs w:val="24"/>
        </w:rPr>
      </w:pPr>
      <w:r w:rsidRPr="0099749D">
        <w:rPr>
          <w:i/>
          <w:szCs w:val="24"/>
        </w:rPr>
        <w:t xml:space="preserve">Codification of Governmental Accounting and Financial Reporting Standards, </w:t>
      </w:r>
      <w:r w:rsidRPr="0099749D">
        <w:rPr>
          <w:iCs/>
          <w:szCs w:val="24"/>
        </w:rPr>
        <w:t>Section P70</w:t>
      </w:r>
      <w:r w:rsidRPr="0099749D">
        <w:rPr>
          <w:i/>
          <w:szCs w:val="24"/>
        </w:rPr>
        <w:t>.</w:t>
      </w:r>
      <w:r w:rsidRPr="0099749D">
        <w:rPr>
          <w:szCs w:val="24"/>
        </w:rPr>
        <w:t xml:space="preserve"> </w:t>
      </w:r>
    </w:p>
    <w:p w14:paraId="3423813C" w14:textId="77777777" w:rsidR="007152DC" w:rsidRPr="0099749D" w:rsidRDefault="007152DC" w:rsidP="007152DC">
      <w:pPr>
        <w:rPr>
          <w:szCs w:val="24"/>
        </w:rPr>
      </w:pPr>
      <w:r w:rsidRPr="0099749D">
        <w:rPr>
          <w:szCs w:val="24"/>
        </w:rPr>
        <w:lastRenderedPageBreak/>
        <w:t>South Carolina’s tax revenues are reported within its Governmental funds.  GAAP require that these funds report revenues on the modified accrual basis</w:t>
      </w:r>
      <w:r w:rsidR="00440A89">
        <w:rPr>
          <w:rStyle w:val="FootnoteReference"/>
          <w:szCs w:val="24"/>
        </w:rPr>
        <w:footnoteReference w:id="7"/>
      </w:r>
      <w:r w:rsidRPr="0099749D">
        <w:rPr>
          <w:szCs w:val="24"/>
        </w:rPr>
        <w:t xml:space="preserve"> of accounting in the fund financial statements.</w:t>
      </w:r>
    </w:p>
    <w:p w14:paraId="5121BB27" w14:textId="77777777" w:rsidR="007152DC" w:rsidRPr="0099749D" w:rsidRDefault="007152DC" w:rsidP="007152DC">
      <w:pPr>
        <w:keepLines/>
        <w:rPr>
          <w:szCs w:val="24"/>
        </w:rPr>
      </w:pPr>
      <w:r w:rsidRPr="0099749D">
        <w:rPr>
          <w:szCs w:val="24"/>
        </w:rPr>
        <w:t xml:space="preserve">GAAP categorizes tax revenues as nonexchange transactions.  In a nonexchange transaction, one party gives value (benefit) to another party without directly receiving equal value in exchange.  GASB 33 defined the classes of tax revenues, derived and imposed non-exchange revenue.  </w:t>
      </w:r>
    </w:p>
    <w:p w14:paraId="1615B7A3" w14:textId="77777777" w:rsidR="007152DC" w:rsidRPr="0099749D" w:rsidRDefault="007152DC" w:rsidP="007152DC">
      <w:pPr>
        <w:rPr>
          <w:szCs w:val="24"/>
        </w:rPr>
      </w:pPr>
      <w:r w:rsidRPr="0099749D">
        <w:rPr>
          <w:szCs w:val="24"/>
        </w:rPr>
        <w:t>GAAP provide specific recognition criteria that define when to recognize assets, liabilities, revenues, and expenditures in the financial statements.  Application of the provisions of this standard requires analysis of the substance of a nonexchange transaction, rather than attention only to its general ledger account label.</w:t>
      </w:r>
    </w:p>
    <w:p w14:paraId="5A32B457" w14:textId="77777777" w:rsidR="007152DC" w:rsidRPr="0099749D" w:rsidRDefault="007152DC" w:rsidP="00DD4167">
      <w:pPr>
        <w:pStyle w:val="Heading3"/>
      </w:pPr>
      <w:bookmarkStart w:id="189" w:name="_Toc296247814"/>
      <w:bookmarkStart w:id="190" w:name="_Toc166149248"/>
      <w:r w:rsidRPr="0099749D">
        <w:t>Derived Tax Revenue Transactions</w:t>
      </w:r>
      <w:bookmarkEnd w:id="189"/>
      <w:bookmarkEnd w:id="190"/>
    </w:p>
    <w:p w14:paraId="663D5C6C" w14:textId="77777777" w:rsidR="007152DC" w:rsidRPr="0099749D" w:rsidRDefault="007152DC" w:rsidP="007152DC">
      <w:pPr>
        <w:spacing w:before="60"/>
        <w:rPr>
          <w:szCs w:val="24"/>
        </w:rPr>
      </w:pPr>
      <w:r w:rsidRPr="0099749D">
        <w:rPr>
          <w:szCs w:val="24"/>
        </w:rPr>
        <w:t xml:space="preserve">GAAP require that the State recognize </w:t>
      </w:r>
      <w:r w:rsidRPr="0099749D">
        <w:rPr>
          <w:i/>
          <w:iCs/>
          <w:szCs w:val="24"/>
        </w:rPr>
        <w:t>assets</w:t>
      </w:r>
      <w:r w:rsidRPr="0099749D">
        <w:rPr>
          <w:szCs w:val="24"/>
        </w:rPr>
        <w:t xml:space="preserve"> from derived tax revenue transactions in the fiscal year when the exchange transaction on which the tax is imposed occurs or when the resources are received, whichever occurs first.  </w:t>
      </w:r>
      <w:r w:rsidRPr="0099749D">
        <w:rPr>
          <w:i/>
          <w:iCs/>
          <w:szCs w:val="24"/>
        </w:rPr>
        <w:t>Revenues</w:t>
      </w:r>
      <w:r w:rsidRPr="0099749D">
        <w:rPr>
          <w:szCs w:val="24"/>
        </w:rPr>
        <w:t xml:space="preserve"> are to be recognized, net of estimated refunds and estimated uncollectible amounts, in the same fiscal year as the assets, provided that the underlying exchange transaction has occurred.  Derived tax revenues received in advance are to be reported as deferred revenues (a liability) until the period of exchange.</w:t>
      </w:r>
    </w:p>
    <w:p w14:paraId="5B0F8DE0" w14:textId="77777777" w:rsidR="007152DC" w:rsidRPr="0099749D" w:rsidRDefault="007152DC" w:rsidP="007152DC">
      <w:pPr>
        <w:keepNext/>
        <w:spacing w:after="60"/>
        <w:rPr>
          <w:szCs w:val="24"/>
        </w:rPr>
      </w:pPr>
      <w:r w:rsidRPr="0099749D">
        <w:rPr>
          <w:szCs w:val="24"/>
        </w:rPr>
        <w:t>Examples of derived tax revenue transactions include:</w:t>
      </w:r>
    </w:p>
    <w:p w14:paraId="7EC2A0C4" w14:textId="77777777" w:rsidR="007152DC" w:rsidRPr="0099749D" w:rsidRDefault="007152DC" w:rsidP="00E619A1">
      <w:pPr>
        <w:keepNext/>
        <w:numPr>
          <w:ilvl w:val="0"/>
          <w:numId w:val="3"/>
        </w:numPr>
        <w:spacing w:before="60" w:after="60"/>
        <w:rPr>
          <w:szCs w:val="24"/>
        </w:rPr>
      </w:pPr>
      <w:r w:rsidRPr="0099749D">
        <w:rPr>
          <w:szCs w:val="24"/>
        </w:rPr>
        <w:t xml:space="preserve">Individual and corporate income taxes. </w:t>
      </w:r>
    </w:p>
    <w:p w14:paraId="0B9E699B" w14:textId="77777777" w:rsidR="007152DC" w:rsidRPr="0099749D" w:rsidRDefault="007152DC" w:rsidP="00E619A1">
      <w:pPr>
        <w:keepNext/>
        <w:numPr>
          <w:ilvl w:val="0"/>
          <w:numId w:val="3"/>
        </w:numPr>
        <w:spacing w:before="60" w:after="60"/>
        <w:rPr>
          <w:szCs w:val="24"/>
        </w:rPr>
      </w:pPr>
      <w:r w:rsidRPr="0099749D">
        <w:rPr>
          <w:szCs w:val="24"/>
        </w:rPr>
        <w:t>Sales and use taxes.</w:t>
      </w:r>
    </w:p>
    <w:p w14:paraId="57461016" w14:textId="77777777" w:rsidR="007152DC" w:rsidRPr="0099749D" w:rsidRDefault="007152DC" w:rsidP="00E619A1">
      <w:pPr>
        <w:keepNext/>
        <w:numPr>
          <w:ilvl w:val="0"/>
          <w:numId w:val="3"/>
        </w:numPr>
        <w:spacing w:before="60" w:after="60"/>
        <w:rPr>
          <w:szCs w:val="24"/>
        </w:rPr>
      </w:pPr>
      <w:r w:rsidRPr="0099749D">
        <w:rPr>
          <w:szCs w:val="24"/>
        </w:rPr>
        <w:t>Tobacco products tax.</w:t>
      </w:r>
    </w:p>
    <w:p w14:paraId="35E3FF59" w14:textId="77777777" w:rsidR="007152DC" w:rsidRPr="0099749D" w:rsidRDefault="007152DC" w:rsidP="00E619A1">
      <w:pPr>
        <w:keepNext/>
        <w:numPr>
          <w:ilvl w:val="0"/>
          <w:numId w:val="3"/>
        </w:numPr>
        <w:spacing w:before="60" w:after="60"/>
        <w:rPr>
          <w:szCs w:val="24"/>
        </w:rPr>
      </w:pPr>
      <w:r w:rsidRPr="0099749D">
        <w:rPr>
          <w:szCs w:val="24"/>
        </w:rPr>
        <w:t>Gasoline taxes.</w:t>
      </w:r>
    </w:p>
    <w:p w14:paraId="06C7CDA1" w14:textId="77777777" w:rsidR="007152DC" w:rsidRPr="0099749D" w:rsidRDefault="007152DC" w:rsidP="00E619A1">
      <w:pPr>
        <w:keepNext/>
        <w:numPr>
          <w:ilvl w:val="0"/>
          <w:numId w:val="3"/>
        </w:numPr>
        <w:spacing w:before="60" w:after="60"/>
        <w:rPr>
          <w:szCs w:val="24"/>
        </w:rPr>
      </w:pPr>
      <w:r w:rsidRPr="0099749D">
        <w:rPr>
          <w:szCs w:val="24"/>
        </w:rPr>
        <w:t>Alcoholic liquors tax.</w:t>
      </w:r>
    </w:p>
    <w:p w14:paraId="3A285A3A" w14:textId="77777777" w:rsidR="007152DC" w:rsidRPr="0099749D" w:rsidRDefault="007152DC" w:rsidP="00E619A1">
      <w:pPr>
        <w:keepNext/>
        <w:numPr>
          <w:ilvl w:val="0"/>
          <w:numId w:val="3"/>
        </w:numPr>
        <w:spacing w:before="60" w:after="60"/>
        <w:rPr>
          <w:szCs w:val="24"/>
        </w:rPr>
      </w:pPr>
      <w:r w:rsidRPr="0099749D">
        <w:rPr>
          <w:szCs w:val="24"/>
        </w:rPr>
        <w:t>Beer and wine taxes.</w:t>
      </w:r>
    </w:p>
    <w:p w14:paraId="391A3A83" w14:textId="77777777" w:rsidR="007152DC" w:rsidRPr="0099749D" w:rsidRDefault="007152DC" w:rsidP="00E619A1">
      <w:pPr>
        <w:keepNext/>
        <w:numPr>
          <w:ilvl w:val="0"/>
          <w:numId w:val="3"/>
        </w:numPr>
        <w:spacing w:before="60" w:after="60"/>
        <w:rPr>
          <w:szCs w:val="24"/>
        </w:rPr>
      </w:pPr>
      <w:r w:rsidRPr="0099749D">
        <w:rPr>
          <w:szCs w:val="24"/>
        </w:rPr>
        <w:t>Insurance taxes.</w:t>
      </w:r>
    </w:p>
    <w:p w14:paraId="3E438C75" w14:textId="77777777" w:rsidR="007152DC" w:rsidRPr="0099749D" w:rsidRDefault="007152DC" w:rsidP="00E619A1">
      <w:pPr>
        <w:numPr>
          <w:ilvl w:val="0"/>
          <w:numId w:val="3"/>
        </w:numPr>
        <w:spacing w:before="60"/>
        <w:rPr>
          <w:szCs w:val="24"/>
        </w:rPr>
      </w:pPr>
      <w:r w:rsidRPr="0099749D">
        <w:rPr>
          <w:szCs w:val="24"/>
        </w:rPr>
        <w:t>Various other taxes where the State imposes a tax on an exchange transaction.</w:t>
      </w:r>
    </w:p>
    <w:p w14:paraId="40702850" w14:textId="77777777" w:rsidR="007152DC" w:rsidRPr="0099749D" w:rsidRDefault="007152DC" w:rsidP="007152DC">
      <w:pPr>
        <w:rPr>
          <w:szCs w:val="24"/>
        </w:rPr>
      </w:pPr>
      <w:r w:rsidRPr="0099749D">
        <w:rPr>
          <w:szCs w:val="24"/>
        </w:rPr>
        <w:t>(Ex</w:t>
      </w:r>
      <w:r w:rsidR="00FA499A">
        <w:rPr>
          <w:szCs w:val="24"/>
        </w:rPr>
        <w:t xml:space="preserve">ample </w:t>
      </w:r>
      <w:r w:rsidRPr="0099749D">
        <w:rPr>
          <w:szCs w:val="24"/>
        </w:rPr>
        <w:t xml:space="preserve">3.2(A) lists tax revenue general ledger accounts and the GAAP class of taxes.)  </w:t>
      </w:r>
      <w:r w:rsidR="00FA499A">
        <w:rPr>
          <w:szCs w:val="24"/>
        </w:rPr>
        <w:br/>
      </w:r>
      <w:r w:rsidRPr="0099749D">
        <w:rPr>
          <w:szCs w:val="24"/>
        </w:rPr>
        <w:t>(Ex</w:t>
      </w:r>
      <w:r w:rsidR="00FA499A">
        <w:rPr>
          <w:szCs w:val="24"/>
        </w:rPr>
        <w:t>ample</w:t>
      </w:r>
      <w:r w:rsidRPr="0099749D">
        <w:rPr>
          <w:szCs w:val="24"/>
        </w:rPr>
        <w:t xml:space="preserve"> 3.2(B) provides an example to outline the State’s reporting requirements for derived tax revenue transactions.)</w:t>
      </w:r>
    </w:p>
    <w:p w14:paraId="29C76DAA" w14:textId="77777777" w:rsidR="007152DC" w:rsidRPr="0099749D" w:rsidRDefault="007152DC" w:rsidP="00DD4167">
      <w:pPr>
        <w:pStyle w:val="Heading3"/>
      </w:pPr>
      <w:bookmarkStart w:id="191" w:name="_Toc296021448"/>
      <w:bookmarkStart w:id="192" w:name="_Toc296021537"/>
      <w:bookmarkStart w:id="193" w:name="_Toc296235429"/>
      <w:bookmarkStart w:id="194" w:name="_Toc296235530"/>
      <w:bookmarkStart w:id="195" w:name="_Toc296247815"/>
      <w:bookmarkStart w:id="196" w:name="_Toc166149249"/>
      <w:r w:rsidRPr="0099749D">
        <w:t>Imposed Nonexchange Revenue Transactions</w:t>
      </w:r>
      <w:bookmarkEnd w:id="191"/>
      <w:bookmarkEnd w:id="192"/>
      <w:bookmarkEnd w:id="193"/>
      <w:bookmarkEnd w:id="194"/>
      <w:bookmarkEnd w:id="195"/>
      <w:bookmarkEnd w:id="196"/>
    </w:p>
    <w:p w14:paraId="62C6DC1C" w14:textId="77777777" w:rsidR="007152DC" w:rsidRPr="0099749D" w:rsidRDefault="007152DC" w:rsidP="00DD4167">
      <w:pPr>
        <w:spacing w:before="40"/>
        <w:rPr>
          <w:szCs w:val="24"/>
        </w:rPr>
      </w:pPr>
      <w:r w:rsidRPr="0099749D">
        <w:rPr>
          <w:szCs w:val="24"/>
        </w:rPr>
        <w:t xml:space="preserve">GAAP require the State to recognize </w:t>
      </w:r>
      <w:r w:rsidRPr="0099749D">
        <w:rPr>
          <w:i/>
          <w:iCs/>
          <w:szCs w:val="24"/>
        </w:rPr>
        <w:t>assets</w:t>
      </w:r>
      <w:r w:rsidRPr="0099749D">
        <w:rPr>
          <w:szCs w:val="24"/>
        </w:rPr>
        <w:t xml:space="preserve"> from imposed nonexchange revenue transactions in the fiscal year when an enforceable legal claim to the assets arises or when the resources are received, whichever occurs first.  For property (ad valorem) taxes, the date when an enforceable claim to taxable property arises generally is specified in the enabling legislation (usually referred to as the lien or assessment date).  The State is required to recognize </w:t>
      </w:r>
      <w:r w:rsidRPr="0099749D">
        <w:rPr>
          <w:i/>
          <w:iCs/>
          <w:szCs w:val="24"/>
        </w:rPr>
        <w:t>revenues</w:t>
      </w:r>
      <w:r w:rsidRPr="0099749D">
        <w:rPr>
          <w:szCs w:val="24"/>
        </w:rPr>
        <w:t xml:space="preserve"> for property taxes, net of estimated refunds and estimated uncollectible amounts, in the period for which the taxes are assessed, provided they are </w:t>
      </w:r>
      <w:r w:rsidRPr="0099749D">
        <w:rPr>
          <w:i/>
          <w:iCs/>
          <w:szCs w:val="24"/>
        </w:rPr>
        <w:t>available</w:t>
      </w:r>
      <w:r w:rsidRPr="0099749D">
        <w:rPr>
          <w:szCs w:val="24"/>
        </w:rPr>
        <w:t xml:space="preserve"> </w:t>
      </w:r>
      <w:proofErr w:type="gramStart"/>
      <w:r w:rsidRPr="0099749D">
        <w:rPr>
          <w:szCs w:val="24"/>
        </w:rPr>
        <w:t>at</w:t>
      </w:r>
      <w:proofErr w:type="gramEnd"/>
      <w:r w:rsidRPr="0099749D">
        <w:rPr>
          <w:szCs w:val="24"/>
        </w:rPr>
        <w:t xml:space="preserve"> June </w:t>
      </w:r>
      <w:r w:rsidRPr="0099749D">
        <w:rPr>
          <w:szCs w:val="24"/>
        </w:rPr>
        <w:lastRenderedPageBreak/>
        <w:t>30.  (Exception:  Property taxes are deemed available to the State if collected either within the current fiscal year or within 60 days after June 30.)</w:t>
      </w:r>
    </w:p>
    <w:p w14:paraId="01F717B6" w14:textId="77777777" w:rsidR="007152DC" w:rsidRPr="0099749D" w:rsidRDefault="007152DC" w:rsidP="00FA1C25">
      <w:pPr>
        <w:keepNext/>
        <w:spacing w:after="60"/>
        <w:rPr>
          <w:szCs w:val="24"/>
        </w:rPr>
      </w:pPr>
      <w:r w:rsidRPr="0099749D">
        <w:rPr>
          <w:szCs w:val="24"/>
        </w:rPr>
        <w:t>Examples of imposed nonexchange revenue transactions applicable to tax revenues include:</w:t>
      </w:r>
    </w:p>
    <w:p w14:paraId="7F55460E" w14:textId="77777777" w:rsidR="007152DC" w:rsidRPr="0099749D" w:rsidRDefault="007152DC" w:rsidP="00FA1C25">
      <w:pPr>
        <w:pStyle w:val="Bullet10"/>
        <w:keepNext/>
        <w:numPr>
          <w:ilvl w:val="0"/>
          <w:numId w:val="4"/>
        </w:numPr>
        <w:tabs>
          <w:tab w:val="num" w:pos="720"/>
        </w:tabs>
        <w:spacing w:before="60" w:after="60"/>
        <w:ind w:left="720" w:hanging="288"/>
        <w:rPr>
          <w:szCs w:val="24"/>
        </w:rPr>
      </w:pPr>
      <w:r w:rsidRPr="0099749D">
        <w:rPr>
          <w:szCs w:val="24"/>
        </w:rPr>
        <w:t>Aircraft tax.</w:t>
      </w:r>
    </w:p>
    <w:p w14:paraId="056D75FC" w14:textId="77777777" w:rsidR="007152DC" w:rsidRPr="0099749D" w:rsidRDefault="007152DC" w:rsidP="00FA1C25">
      <w:pPr>
        <w:pStyle w:val="Bullet10"/>
        <w:keepNext/>
        <w:numPr>
          <w:ilvl w:val="0"/>
          <w:numId w:val="4"/>
        </w:numPr>
        <w:tabs>
          <w:tab w:val="num" w:pos="720"/>
        </w:tabs>
        <w:spacing w:before="60" w:after="60"/>
        <w:ind w:left="720" w:hanging="288"/>
        <w:rPr>
          <w:szCs w:val="24"/>
        </w:rPr>
      </w:pPr>
      <w:r w:rsidRPr="0099749D">
        <w:rPr>
          <w:szCs w:val="24"/>
        </w:rPr>
        <w:t>Private car lines tax.</w:t>
      </w:r>
    </w:p>
    <w:p w14:paraId="53540882" w14:textId="77777777" w:rsidR="007152DC" w:rsidRPr="0099749D" w:rsidRDefault="007152DC" w:rsidP="00E619A1">
      <w:pPr>
        <w:pStyle w:val="Bullet10"/>
        <w:numPr>
          <w:ilvl w:val="0"/>
          <w:numId w:val="4"/>
        </w:numPr>
        <w:tabs>
          <w:tab w:val="num" w:pos="720"/>
        </w:tabs>
        <w:spacing w:before="60"/>
        <w:ind w:left="720" w:hanging="288"/>
        <w:rPr>
          <w:szCs w:val="24"/>
        </w:rPr>
      </w:pPr>
      <w:r w:rsidRPr="0099749D">
        <w:rPr>
          <w:szCs w:val="24"/>
        </w:rPr>
        <w:t>Motor carrier property tax.</w:t>
      </w:r>
    </w:p>
    <w:p w14:paraId="59D73366" w14:textId="77777777" w:rsidR="007152DC" w:rsidRPr="0099749D" w:rsidRDefault="007152DC" w:rsidP="007152DC">
      <w:pPr>
        <w:rPr>
          <w:szCs w:val="24"/>
        </w:rPr>
      </w:pPr>
      <w:r w:rsidRPr="0099749D">
        <w:rPr>
          <w:szCs w:val="24"/>
        </w:rPr>
        <w:t xml:space="preserve">(See </w:t>
      </w:r>
      <w:r w:rsidR="00FA499A">
        <w:rPr>
          <w:szCs w:val="24"/>
        </w:rPr>
        <w:t>Example</w:t>
      </w:r>
      <w:r w:rsidRPr="0099749D">
        <w:rPr>
          <w:szCs w:val="24"/>
        </w:rPr>
        <w:t xml:space="preserve"> 3.2(A) for a list of tax revenue general ledger account numbers with the GAAP tax class identified.)</w:t>
      </w:r>
    </w:p>
    <w:p w14:paraId="2FDBB788" w14:textId="77777777" w:rsidR="007152DC" w:rsidRPr="0099749D" w:rsidRDefault="007152DC" w:rsidP="007152DC">
      <w:pPr>
        <w:keepNext/>
        <w:spacing w:after="60"/>
        <w:rPr>
          <w:szCs w:val="24"/>
        </w:rPr>
      </w:pPr>
      <w:r w:rsidRPr="0099749D">
        <w:rPr>
          <w:szCs w:val="24"/>
        </w:rPr>
        <w:t xml:space="preserve">Under the modified accrual </w:t>
      </w:r>
      <w:proofErr w:type="gramStart"/>
      <w:r w:rsidRPr="0099749D">
        <w:rPr>
          <w:szCs w:val="24"/>
        </w:rPr>
        <w:t>basis</w:t>
      </w:r>
      <w:proofErr w:type="gramEnd"/>
      <w:r w:rsidRPr="0099749D">
        <w:rPr>
          <w:szCs w:val="24"/>
        </w:rPr>
        <w:t xml:space="preserve"> the State reports:</w:t>
      </w:r>
    </w:p>
    <w:p w14:paraId="1B1CB054" w14:textId="77777777" w:rsidR="007152DC" w:rsidRPr="0099749D" w:rsidRDefault="007152DC" w:rsidP="007152DC">
      <w:pPr>
        <w:pStyle w:val="Bullet10"/>
        <w:spacing w:before="60" w:after="60"/>
        <w:rPr>
          <w:szCs w:val="24"/>
        </w:rPr>
      </w:pPr>
      <w:r w:rsidRPr="0099749D">
        <w:rPr>
          <w:szCs w:val="24"/>
        </w:rPr>
        <w:t>o</w:t>
      </w:r>
      <w:r w:rsidRPr="0099749D">
        <w:rPr>
          <w:szCs w:val="24"/>
        </w:rPr>
        <w:tab/>
        <w:t xml:space="preserve">Taxes Receivable (Gross Taxes Receivable) </w:t>
      </w:r>
      <w:proofErr w:type="gramStart"/>
      <w:r w:rsidRPr="0099749D">
        <w:rPr>
          <w:szCs w:val="24"/>
        </w:rPr>
        <w:t>at</w:t>
      </w:r>
      <w:proofErr w:type="gramEnd"/>
      <w:r w:rsidRPr="0099749D">
        <w:rPr>
          <w:szCs w:val="24"/>
        </w:rPr>
        <w:t xml:space="preserve"> June 30 for certain taxes that meet both of the following:</w:t>
      </w:r>
    </w:p>
    <w:p w14:paraId="36A54AC7" w14:textId="77777777" w:rsidR="007152DC" w:rsidRPr="0099749D" w:rsidRDefault="007152DC" w:rsidP="007152DC">
      <w:pPr>
        <w:pStyle w:val="Bullet2"/>
        <w:spacing w:before="60" w:after="60"/>
        <w:rPr>
          <w:szCs w:val="24"/>
        </w:rPr>
      </w:pPr>
      <w:r w:rsidRPr="0099749D">
        <w:rPr>
          <w:szCs w:val="24"/>
        </w:rPr>
        <w:t>--</w:t>
      </w:r>
      <w:r w:rsidRPr="0099749D">
        <w:rPr>
          <w:szCs w:val="24"/>
        </w:rPr>
        <w:tab/>
        <w:t xml:space="preserve">They are measurable </w:t>
      </w:r>
      <w:proofErr w:type="gramStart"/>
      <w:r w:rsidRPr="0099749D">
        <w:rPr>
          <w:szCs w:val="24"/>
        </w:rPr>
        <w:t>at</w:t>
      </w:r>
      <w:proofErr w:type="gramEnd"/>
      <w:r w:rsidRPr="0099749D">
        <w:rPr>
          <w:szCs w:val="24"/>
        </w:rPr>
        <w:t xml:space="preserve"> June 30.</w:t>
      </w:r>
    </w:p>
    <w:p w14:paraId="7E3279F9" w14:textId="77777777" w:rsidR="007152DC" w:rsidRPr="0099749D" w:rsidRDefault="007152DC" w:rsidP="007152DC">
      <w:pPr>
        <w:pStyle w:val="Bullet2"/>
        <w:spacing w:before="60" w:after="60"/>
        <w:rPr>
          <w:szCs w:val="24"/>
        </w:rPr>
      </w:pPr>
      <w:r w:rsidRPr="0099749D">
        <w:rPr>
          <w:szCs w:val="24"/>
        </w:rPr>
        <w:t>--</w:t>
      </w:r>
      <w:r w:rsidRPr="0099749D">
        <w:rPr>
          <w:szCs w:val="24"/>
        </w:rPr>
        <w:tab/>
      </w:r>
      <w:proofErr w:type="gramStart"/>
      <w:r w:rsidRPr="0099749D">
        <w:rPr>
          <w:szCs w:val="24"/>
        </w:rPr>
        <w:t>At</w:t>
      </w:r>
      <w:proofErr w:type="gramEnd"/>
      <w:r w:rsidRPr="0099749D">
        <w:rPr>
          <w:szCs w:val="24"/>
        </w:rPr>
        <w:t xml:space="preserve"> June 30, the State has not yet collected the related cash.</w:t>
      </w:r>
    </w:p>
    <w:p w14:paraId="717E42CF" w14:textId="77777777" w:rsidR="007152DC" w:rsidRPr="0099749D" w:rsidRDefault="007152DC" w:rsidP="007152DC">
      <w:pPr>
        <w:pStyle w:val="Bullet10"/>
        <w:spacing w:before="60" w:after="60"/>
        <w:rPr>
          <w:szCs w:val="24"/>
        </w:rPr>
      </w:pPr>
      <w:r w:rsidRPr="0099749D">
        <w:rPr>
          <w:szCs w:val="24"/>
        </w:rPr>
        <w:t>o</w:t>
      </w:r>
      <w:r w:rsidRPr="0099749D">
        <w:rPr>
          <w:szCs w:val="24"/>
        </w:rPr>
        <w:tab/>
        <w:t>Deferred Revenue for taxes that:</w:t>
      </w:r>
    </w:p>
    <w:p w14:paraId="13D5FB0F" w14:textId="77777777" w:rsidR="007152DC" w:rsidRPr="0099749D" w:rsidRDefault="007152DC" w:rsidP="007152DC">
      <w:pPr>
        <w:pStyle w:val="Bullet2"/>
        <w:spacing w:before="60" w:after="60"/>
        <w:rPr>
          <w:szCs w:val="24"/>
        </w:rPr>
      </w:pPr>
      <w:r w:rsidRPr="0099749D">
        <w:rPr>
          <w:szCs w:val="24"/>
        </w:rPr>
        <w:t>--</w:t>
      </w:r>
      <w:r w:rsidRPr="0099749D">
        <w:rPr>
          <w:szCs w:val="24"/>
        </w:rPr>
        <w:tab/>
        <w:t>Are collected in advance of the fiscal year to which the taxes apply.</w:t>
      </w:r>
    </w:p>
    <w:p w14:paraId="130D2BAB" w14:textId="77777777" w:rsidR="007152DC" w:rsidRPr="0099749D" w:rsidRDefault="007152DC" w:rsidP="007152DC">
      <w:pPr>
        <w:pStyle w:val="Bullet2"/>
        <w:spacing w:before="60" w:after="60"/>
        <w:rPr>
          <w:szCs w:val="24"/>
        </w:rPr>
      </w:pPr>
      <w:r w:rsidRPr="0099749D">
        <w:rPr>
          <w:szCs w:val="24"/>
        </w:rPr>
        <w:t>--</w:t>
      </w:r>
      <w:r w:rsidRPr="0099749D">
        <w:rPr>
          <w:szCs w:val="24"/>
        </w:rPr>
        <w:tab/>
        <w:t xml:space="preserve">Are measurable but not available </w:t>
      </w:r>
      <w:proofErr w:type="gramStart"/>
      <w:r w:rsidRPr="0099749D">
        <w:rPr>
          <w:szCs w:val="24"/>
        </w:rPr>
        <w:t>at</w:t>
      </w:r>
      <w:proofErr w:type="gramEnd"/>
      <w:r w:rsidRPr="0099749D">
        <w:rPr>
          <w:szCs w:val="24"/>
        </w:rPr>
        <w:t xml:space="preserve"> June 30.</w:t>
      </w:r>
    </w:p>
    <w:p w14:paraId="7B5101F4" w14:textId="77777777" w:rsidR="007152DC" w:rsidRPr="0099749D" w:rsidRDefault="007152DC" w:rsidP="007152DC">
      <w:pPr>
        <w:spacing w:before="60"/>
        <w:rPr>
          <w:szCs w:val="24"/>
        </w:rPr>
      </w:pPr>
      <w:r w:rsidRPr="0099749D">
        <w:rPr>
          <w:szCs w:val="24"/>
        </w:rPr>
        <w:t>GAAP relating to financial statement presentation require the assets and liabilities be presented as current</w:t>
      </w:r>
      <w:r w:rsidR="00440A89">
        <w:rPr>
          <w:rStyle w:val="FootnoteReference"/>
          <w:szCs w:val="24"/>
        </w:rPr>
        <w:footnoteReference w:id="8"/>
      </w:r>
      <w:r w:rsidRPr="0099749D">
        <w:rPr>
          <w:szCs w:val="24"/>
        </w:rPr>
        <w:t xml:space="preserve"> and non-current</w:t>
      </w:r>
      <w:r w:rsidR="00440A89">
        <w:rPr>
          <w:rStyle w:val="FootnoteReference"/>
          <w:szCs w:val="24"/>
        </w:rPr>
        <w:footnoteReference w:id="9"/>
      </w:r>
      <w:r w:rsidRPr="0099749D">
        <w:rPr>
          <w:szCs w:val="24"/>
        </w:rPr>
        <w:t xml:space="preserve">.  </w:t>
      </w:r>
    </w:p>
    <w:p w14:paraId="6DC4EEBD" w14:textId="77777777" w:rsidR="007152DC" w:rsidRPr="00DD4167" w:rsidRDefault="007152DC" w:rsidP="00DD4167">
      <w:pPr>
        <w:pStyle w:val="Heading4"/>
      </w:pPr>
      <w:r w:rsidRPr="0099749D">
        <w:t>Allowance for Uncollectible Taxes</w:t>
      </w:r>
    </w:p>
    <w:p w14:paraId="3707C7AA" w14:textId="77777777" w:rsidR="007152DC" w:rsidRPr="0099749D" w:rsidRDefault="007152DC" w:rsidP="007152DC">
      <w:pPr>
        <w:keepNext/>
        <w:spacing w:after="60"/>
        <w:rPr>
          <w:szCs w:val="24"/>
        </w:rPr>
      </w:pPr>
      <w:r w:rsidRPr="0099749D">
        <w:rPr>
          <w:szCs w:val="24"/>
        </w:rPr>
        <w:t xml:space="preserve">GAAP require that the State report an Allowance for Uncollectible Taxes, if applicable.  The financial statements need to report the Gross Taxes Receivable less the allowance amount.  The collecting agency is responsible for </w:t>
      </w:r>
      <w:r w:rsidRPr="0099749D">
        <w:rPr>
          <w:szCs w:val="24"/>
          <w:u w:val="words"/>
        </w:rPr>
        <w:t xml:space="preserve">estimating </w:t>
      </w:r>
      <w:r w:rsidRPr="0099749D">
        <w:rPr>
          <w:szCs w:val="24"/>
        </w:rPr>
        <w:t>the amount of the allowance as follows:</w:t>
      </w:r>
    </w:p>
    <w:p w14:paraId="40839A1A" w14:textId="77777777" w:rsidR="007152DC" w:rsidRPr="0099749D" w:rsidRDefault="007152DC" w:rsidP="007152DC">
      <w:pPr>
        <w:pStyle w:val="Bullet10"/>
        <w:spacing w:before="60" w:after="60"/>
        <w:rPr>
          <w:szCs w:val="24"/>
        </w:rPr>
      </w:pPr>
      <w:r w:rsidRPr="0099749D">
        <w:rPr>
          <w:szCs w:val="24"/>
        </w:rPr>
        <w:t>o</w:t>
      </w:r>
      <w:r w:rsidRPr="0099749D">
        <w:rPr>
          <w:szCs w:val="24"/>
        </w:rPr>
        <w:tab/>
        <w:t xml:space="preserve">Gather historical data on revenue </w:t>
      </w:r>
      <w:r w:rsidR="00E832D0" w:rsidRPr="0099749D">
        <w:rPr>
          <w:szCs w:val="24"/>
        </w:rPr>
        <w:t>collectability</w:t>
      </w:r>
      <w:r w:rsidRPr="0099749D">
        <w:rPr>
          <w:szCs w:val="24"/>
        </w:rPr>
        <w:t>.</w:t>
      </w:r>
    </w:p>
    <w:p w14:paraId="13BBAD04" w14:textId="77777777" w:rsidR="007152DC" w:rsidRPr="0099749D" w:rsidRDefault="007152DC" w:rsidP="007152DC">
      <w:pPr>
        <w:pStyle w:val="Bullet10"/>
        <w:spacing w:before="60"/>
        <w:rPr>
          <w:szCs w:val="24"/>
        </w:rPr>
      </w:pPr>
      <w:r w:rsidRPr="0099749D">
        <w:rPr>
          <w:szCs w:val="24"/>
        </w:rPr>
        <w:t>o</w:t>
      </w:r>
      <w:r w:rsidRPr="0099749D">
        <w:rPr>
          <w:szCs w:val="24"/>
        </w:rPr>
        <w:tab/>
        <w:t>Project the historical data to the activity for the current year.</w:t>
      </w:r>
    </w:p>
    <w:p w14:paraId="21E93691" w14:textId="77777777" w:rsidR="007152DC" w:rsidRPr="0099749D" w:rsidRDefault="007152DC" w:rsidP="007152DC">
      <w:pPr>
        <w:pStyle w:val="Bullet10"/>
        <w:spacing w:before="60"/>
        <w:rPr>
          <w:szCs w:val="24"/>
        </w:rPr>
      </w:pPr>
      <w:r w:rsidRPr="0099749D">
        <w:rPr>
          <w:szCs w:val="24"/>
        </w:rPr>
        <w:t>o</w:t>
      </w:r>
      <w:r w:rsidRPr="0099749D">
        <w:rPr>
          <w:szCs w:val="24"/>
        </w:rPr>
        <w:tab/>
        <w:t xml:space="preserve">Evaluate the reasonableness of the projection as it relates to current year collections to determine and evaluate the </w:t>
      </w:r>
      <w:r w:rsidR="00E832D0" w:rsidRPr="0099749D">
        <w:rPr>
          <w:szCs w:val="24"/>
        </w:rPr>
        <w:t>collectability</w:t>
      </w:r>
      <w:r w:rsidRPr="0099749D">
        <w:rPr>
          <w:szCs w:val="24"/>
        </w:rPr>
        <w:t xml:space="preserve"> of Taxes Receivable</w:t>
      </w:r>
      <w:r w:rsidR="00440A89">
        <w:rPr>
          <w:rStyle w:val="FootnoteReference"/>
          <w:szCs w:val="24"/>
        </w:rPr>
        <w:footnoteReference w:id="10"/>
      </w:r>
      <w:r w:rsidRPr="0099749D">
        <w:rPr>
          <w:szCs w:val="24"/>
        </w:rPr>
        <w:t xml:space="preserve"> </w:t>
      </w:r>
      <w:proofErr w:type="gramStart"/>
      <w:r w:rsidRPr="0099749D">
        <w:rPr>
          <w:szCs w:val="24"/>
        </w:rPr>
        <w:t>at</w:t>
      </w:r>
      <w:proofErr w:type="gramEnd"/>
      <w:r w:rsidRPr="0099749D">
        <w:rPr>
          <w:szCs w:val="24"/>
        </w:rPr>
        <w:t xml:space="preserve"> June 30. </w:t>
      </w:r>
    </w:p>
    <w:p w14:paraId="0ADF106D" w14:textId="77777777" w:rsidR="007152DC" w:rsidRPr="0099749D" w:rsidRDefault="007152DC" w:rsidP="00DD4167">
      <w:pPr>
        <w:pStyle w:val="Heading4"/>
      </w:pPr>
      <w:bookmarkStart w:id="197" w:name="_Toc296021449"/>
      <w:bookmarkStart w:id="198" w:name="_Toc296021538"/>
      <w:bookmarkStart w:id="199" w:name="_Toc296235430"/>
      <w:bookmarkStart w:id="200" w:name="_Toc296235531"/>
      <w:r w:rsidRPr="0099749D">
        <w:t>Deferred Revenue</w:t>
      </w:r>
      <w:bookmarkEnd w:id="197"/>
      <w:bookmarkEnd w:id="198"/>
      <w:bookmarkEnd w:id="199"/>
      <w:bookmarkEnd w:id="200"/>
    </w:p>
    <w:p w14:paraId="2A85DE78" w14:textId="77777777" w:rsidR="007152DC" w:rsidRPr="0099749D" w:rsidRDefault="007152DC" w:rsidP="007152DC">
      <w:pPr>
        <w:spacing w:after="60"/>
        <w:rPr>
          <w:szCs w:val="24"/>
        </w:rPr>
      </w:pPr>
      <w:r w:rsidRPr="0099749D">
        <w:rPr>
          <w:szCs w:val="24"/>
        </w:rPr>
        <w:t xml:space="preserve">GAAP require that Deferred Revenue (rather than Revenue) be recorded if </w:t>
      </w:r>
      <w:proofErr w:type="gramStart"/>
      <w:r w:rsidRPr="0099749D">
        <w:rPr>
          <w:szCs w:val="24"/>
        </w:rPr>
        <w:t>at</w:t>
      </w:r>
      <w:proofErr w:type="gramEnd"/>
      <w:r w:rsidRPr="0099749D">
        <w:rPr>
          <w:szCs w:val="24"/>
        </w:rPr>
        <w:t xml:space="preserve"> June 30 either:</w:t>
      </w:r>
    </w:p>
    <w:p w14:paraId="6CB47643" w14:textId="62D60816" w:rsidR="007152DC" w:rsidRPr="0099749D" w:rsidRDefault="007152DC" w:rsidP="007152DC">
      <w:pPr>
        <w:pStyle w:val="Bullet10"/>
        <w:spacing w:before="60" w:after="60"/>
        <w:rPr>
          <w:szCs w:val="24"/>
        </w:rPr>
      </w:pPr>
      <w:r w:rsidRPr="0099749D">
        <w:rPr>
          <w:szCs w:val="24"/>
        </w:rPr>
        <w:t>o</w:t>
      </w:r>
      <w:r w:rsidRPr="0099749D">
        <w:rPr>
          <w:szCs w:val="24"/>
        </w:rPr>
        <w:tab/>
        <w:t xml:space="preserve">A material amount of the taxes </w:t>
      </w:r>
      <w:r w:rsidR="0018180C">
        <w:rPr>
          <w:szCs w:val="24"/>
        </w:rPr>
        <w:t>have been collected before the</w:t>
      </w:r>
      <w:r w:rsidRPr="0099749D">
        <w:rPr>
          <w:szCs w:val="24"/>
        </w:rPr>
        <w:t xml:space="preserve"> due date (</w:t>
      </w:r>
      <w:r w:rsidR="0018180C">
        <w:rPr>
          <w:szCs w:val="24"/>
        </w:rPr>
        <w:t xml:space="preserve">or if no stated due date the </w:t>
      </w:r>
      <w:r w:rsidRPr="0099749D">
        <w:rPr>
          <w:szCs w:val="24"/>
        </w:rPr>
        <w:t>normal time of receipt).  Agencies will report these amounts on the Defe</w:t>
      </w:r>
      <w:r w:rsidR="0018180C">
        <w:rPr>
          <w:szCs w:val="24"/>
        </w:rPr>
        <w:t>rred Tax Revenues Summary Form</w:t>
      </w:r>
      <w:r w:rsidR="00805B5D">
        <w:rPr>
          <w:szCs w:val="24"/>
        </w:rPr>
        <w:t>.</w:t>
      </w:r>
    </w:p>
    <w:p w14:paraId="6229CBEB" w14:textId="4678BD26" w:rsidR="007152DC" w:rsidRPr="0099749D" w:rsidRDefault="00E832D0" w:rsidP="007152DC">
      <w:pPr>
        <w:pStyle w:val="Bullet10"/>
        <w:spacing w:before="60"/>
        <w:rPr>
          <w:szCs w:val="24"/>
        </w:rPr>
      </w:pPr>
      <w:r>
        <w:rPr>
          <w:szCs w:val="24"/>
        </w:rPr>
        <w:lastRenderedPageBreak/>
        <w:t>o</w:t>
      </w:r>
      <w:r>
        <w:rPr>
          <w:szCs w:val="24"/>
        </w:rPr>
        <w:tab/>
        <w:t>The Tax</w:t>
      </w:r>
      <w:r w:rsidRPr="0099749D">
        <w:rPr>
          <w:szCs w:val="24"/>
        </w:rPr>
        <w:t xml:space="preserve"> Receivable</w:t>
      </w:r>
      <w:r>
        <w:rPr>
          <w:szCs w:val="24"/>
        </w:rPr>
        <w:t>s</w:t>
      </w:r>
      <w:r w:rsidRPr="0099749D">
        <w:rPr>
          <w:szCs w:val="24"/>
        </w:rPr>
        <w:t xml:space="preserve"> are measurable but </w:t>
      </w:r>
      <w:r w:rsidR="0018180C">
        <w:rPr>
          <w:szCs w:val="24"/>
        </w:rPr>
        <w:t>not</w:t>
      </w:r>
      <w:r w:rsidRPr="0099749D">
        <w:rPr>
          <w:szCs w:val="24"/>
        </w:rPr>
        <w:t xml:space="preserve"> available</w:t>
      </w:r>
      <w:r>
        <w:rPr>
          <w:rStyle w:val="FootnoteReference"/>
          <w:szCs w:val="24"/>
        </w:rPr>
        <w:footnoteReference w:id="11"/>
      </w:r>
      <w:r w:rsidRPr="0099749D">
        <w:rPr>
          <w:szCs w:val="24"/>
        </w:rPr>
        <w:t xml:space="preserve"> </w:t>
      </w:r>
      <w:proofErr w:type="gramStart"/>
      <w:r w:rsidRPr="0099749D">
        <w:rPr>
          <w:szCs w:val="24"/>
        </w:rPr>
        <w:t>at</w:t>
      </w:r>
      <w:proofErr w:type="gramEnd"/>
      <w:r w:rsidRPr="0099749D">
        <w:rPr>
          <w:szCs w:val="24"/>
        </w:rPr>
        <w:t xml:space="preserve"> June 30.  </w:t>
      </w:r>
      <w:r w:rsidR="007152DC" w:rsidRPr="0099749D">
        <w:rPr>
          <w:szCs w:val="24"/>
        </w:rPr>
        <w:t>Agencies will report these amounts on the Taxes Receivable Summary Form</w:t>
      </w:r>
      <w:r w:rsidR="00805B5D">
        <w:rPr>
          <w:szCs w:val="24"/>
        </w:rPr>
        <w:t>.</w:t>
      </w:r>
    </w:p>
    <w:p w14:paraId="7880DFA4" w14:textId="77777777" w:rsidR="007152DC" w:rsidRPr="0099749D" w:rsidRDefault="007152DC" w:rsidP="007152DC">
      <w:pPr>
        <w:rPr>
          <w:szCs w:val="24"/>
        </w:rPr>
      </w:pPr>
    </w:p>
    <w:p w14:paraId="03109EA7" w14:textId="77777777" w:rsidR="0012040B" w:rsidRDefault="0058150D" w:rsidP="003B02BA">
      <w:pPr>
        <w:pStyle w:val="Heading2"/>
      </w:pPr>
      <w:bookmarkStart w:id="201" w:name="_Toc296021450"/>
      <w:bookmarkStart w:id="202" w:name="_Toc296021539"/>
      <w:bookmarkStart w:id="203" w:name="_Toc296235431"/>
      <w:bookmarkStart w:id="204" w:name="_Toc296235532"/>
      <w:bookmarkStart w:id="205" w:name="_Toc296247816"/>
      <w:bookmarkStart w:id="206" w:name="_Toc166149250"/>
      <w:r>
        <w:t>Section _.3 Grant a</w:t>
      </w:r>
      <w:r w:rsidRPr="0099749D">
        <w:t>nd Contribution Revenues</w:t>
      </w:r>
      <w:bookmarkEnd w:id="201"/>
      <w:bookmarkEnd w:id="202"/>
      <w:bookmarkEnd w:id="203"/>
      <w:bookmarkEnd w:id="204"/>
      <w:bookmarkEnd w:id="205"/>
      <w:bookmarkEnd w:id="206"/>
    </w:p>
    <w:p w14:paraId="2FA31AC0" w14:textId="77777777" w:rsidR="00A03152" w:rsidRPr="0099749D" w:rsidRDefault="00A03152" w:rsidP="00FA1C25">
      <w:pPr>
        <w:keepNext/>
        <w:spacing w:after="40" w:line="240" w:lineRule="exact"/>
        <w:rPr>
          <w:szCs w:val="24"/>
        </w:rPr>
      </w:pPr>
      <w:r w:rsidRPr="0099749D">
        <w:rPr>
          <w:szCs w:val="24"/>
        </w:rPr>
        <w:t>Generally Accepted Accounting Principles (GAAP) relating to recognition of Grants and Contribution Revenue appear in:</w:t>
      </w:r>
    </w:p>
    <w:p w14:paraId="1F46066E" w14:textId="77777777" w:rsidR="00A03152" w:rsidRPr="0099749D" w:rsidRDefault="00A03152" w:rsidP="005C2F33">
      <w:pPr>
        <w:pStyle w:val="Bullet10"/>
        <w:numPr>
          <w:ilvl w:val="0"/>
          <w:numId w:val="16"/>
        </w:numPr>
        <w:spacing w:before="40" w:after="40" w:line="240" w:lineRule="exact"/>
        <w:rPr>
          <w:szCs w:val="24"/>
        </w:rPr>
      </w:pPr>
      <w:r w:rsidRPr="0099749D">
        <w:rPr>
          <w:i/>
          <w:szCs w:val="24"/>
        </w:rPr>
        <w:t>Codification of Governmental Accounting and Financial Reporting Standards, Section N50.</w:t>
      </w:r>
    </w:p>
    <w:p w14:paraId="5C7169CC" w14:textId="77777777" w:rsidR="00A03152" w:rsidRPr="0099749D" w:rsidRDefault="00A03152" w:rsidP="00A03152">
      <w:pPr>
        <w:pStyle w:val="Bullet10"/>
        <w:spacing w:before="40" w:after="40" w:line="240" w:lineRule="exact"/>
        <w:ind w:hanging="270"/>
        <w:rPr>
          <w:szCs w:val="24"/>
        </w:rPr>
      </w:pPr>
      <w:r w:rsidRPr="0099749D">
        <w:rPr>
          <w:iCs/>
          <w:szCs w:val="24"/>
        </w:rPr>
        <w:t>o</w:t>
      </w:r>
      <w:r w:rsidRPr="0099749D">
        <w:rPr>
          <w:i/>
          <w:szCs w:val="24"/>
        </w:rPr>
        <w:tab/>
        <w:t xml:space="preserve">Codification of Governmental Accounting and Financial Reporting Standards, </w:t>
      </w:r>
      <w:r w:rsidRPr="0099749D">
        <w:rPr>
          <w:szCs w:val="24"/>
        </w:rPr>
        <w:t>Sections 1600.103 through 1600.115.</w:t>
      </w:r>
    </w:p>
    <w:p w14:paraId="05F4AE06" w14:textId="77777777" w:rsidR="00A03152" w:rsidRPr="0099749D" w:rsidRDefault="00A03152" w:rsidP="00A03152">
      <w:pPr>
        <w:pStyle w:val="Bullet10"/>
        <w:spacing w:before="40" w:after="40" w:line="240" w:lineRule="exact"/>
        <w:ind w:hanging="270"/>
        <w:rPr>
          <w:szCs w:val="24"/>
        </w:rPr>
      </w:pPr>
      <w:r w:rsidRPr="0099749D">
        <w:rPr>
          <w:szCs w:val="24"/>
        </w:rPr>
        <w:t>o</w:t>
      </w:r>
      <w:r w:rsidRPr="0099749D">
        <w:rPr>
          <w:szCs w:val="24"/>
        </w:rPr>
        <w:tab/>
        <w:t>Codification of Governmental Accounting and Financial Reporting Standards, Sections 2200.138, 2200.139, and 2200.166.</w:t>
      </w:r>
    </w:p>
    <w:p w14:paraId="16C4D9C6" w14:textId="77777777" w:rsidR="00A03152" w:rsidRPr="0099749D" w:rsidRDefault="00A03152" w:rsidP="005C2F33">
      <w:pPr>
        <w:pStyle w:val="Bullet10"/>
        <w:numPr>
          <w:ilvl w:val="0"/>
          <w:numId w:val="16"/>
        </w:numPr>
        <w:spacing w:before="40" w:after="80" w:line="240" w:lineRule="exact"/>
        <w:rPr>
          <w:szCs w:val="24"/>
        </w:rPr>
      </w:pPr>
      <w:r w:rsidRPr="0099749D">
        <w:rPr>
          <w:szCs w:val="24"/>
        </w:rPr>
        <w:t xml:space="preserve">AICPA’s </w:t>
      </w:r>
      <w:r w:rsidRPr="0099749D">
        <w:rPr>
          <w:i/>
          <w:iCs/>
          <w:szCs w:val="24"/>
        </w:rPr>
        <w:t>Audits of State and Local Governmental Units.</w:t>
      </w:r>
    </w:p>
    <w:p w14:paraId="18E3403F" w14:textId="77777777" w:rsidR="00A03152" w:rsidRPr="0099749D" w:rsidRDefault="00A03152" w:rsidP="00A03152">
      <w:pPr>
        <w:pStyle w:val="Bullet10"/>
        <w:keepNext/>
        <w:spacing w:after="40" w:line="240" w:lineRule="exact"/>
        <w:ind w:left="0" w:firstLine="0"/>
        <w:rPr>
          <w:szCs w:val="24"/>
        </w:rPr>
      </w:pPr>
      <w:r w:rsidRPr="0099749D">
        <w:rPr>
          <w:szCs w:val="24"/>
        </w:rPr>
        <w:t>The requirements of GAAP for recognizing Grants and Contribution Revenue, Receivables, and Deferred Revenues differ for different Fund Types:</w:t>
      </w:r>
    </w:p>
    <w:p w14:paraId="61247705" w14:textId="77777777" w:rsidR="00A03152" w:rsidRPr="0099749D" w:rsidRDefault="00A03152" w:rsidP="00A03152">
      <w:pPr>
        <w:pStyle w:val="Bullet10"/>
        <w:keepLines/>
        <w:spacing w:before="40" w:after="40" w:line="240" w:lineRule="exact"/>
        <w:ind w:hanging="360"/>
        <w:rPr>
          <w:szCs w:val="24"/>
        </w:rPr>
      </w:pPr>
      <w:r w:rsidRPr="0099749D">
        <w:rPr>
          <w:szCs w:val="24"/>
        </w:rPr>
        <w:t>o</w:t>
      </w:r>
      <w:r w:rsidRPr="0099749D">
        <w:rPr>
          <w:szCs w:val="24"/>
        </w:rPr>
        <w:tab/>
      </w:r>
      <w:r w:rsidRPr="0099749D">
        <w:rPr>
          <w:i/>
          <w:iCs/>
          <w:szCs w:val="24"/>
        </w:rPr>
        <w:t>PROPRIETARY (Enterprise, Internal Service, and Trust funds)</w:t>
      </w:r>
    </w:p>
    <w:p w14:paraId="4EF6D541" w14:textId="77777777" w:rsidR="00A03152" w:rsidRPr="0099749D" w:rsidRDefault="00A03152" w:rsidP="00A03152">
      <w:pPr>
        <w:pStyle w:val="Bullet2"/>
        <w:spacing w:before="40" w:after="40" w:line="240" w:lineRule="exact"/>
        <w:rPr>
          <w:szCs w:val="24"/>
        </w:rPr>
      </w:pPr>
      <w:r w:rsidRPr="0099749D">
        <w:rPr>
          <w:szCs w:val="24"/>
        </w:rPr>
        <w:noBreakHyphen/>
      </w:r>
      <w:r w:rsidRPr="0099749D">
        <w:rPr>
          <w:szCs w:val="24"/>
        </w:rPr>
        <w:noBreakHyphen/>
      </w:r>
      <w:r w:rsidRPr="0099749D">
        <w:rPr>
          <w:szCs w:val="24"/>
        </w:rPr>
        <w:tab/>
        <w:t xml:space="preserve">Recognize Grants and Contribution Revenue when all applicable eligibility requirements have been met. </w:t>
      </w:r>
    </w:p>
    <w:p w14:paraId="6E6001AA" w14:textId="77777777" w:rsidR="00A03152" w:rsidRPr="0099749D" w:rsidRDefault="00A03152" w:rsidP="00A03152">
      <w:pPr>
        <w:pStyle w:val="Bullet2"/>
        <w:keepNext/>
        <w:spacing w:before="40" w:after="40" w:line="240" w:lineRule="exact"/>
        <w:rPr>
          <w:szCs w:val="24"/>
        </w:rPr>
      </w:pPr>
      <w:r w:rsidRPr="0099749D">
        <w:rPr>
          <w:szCs w:val="24"/>
        </w:rPr>
        <w:noBreakHyphen/>
      </w:r>
      <w:r w:rsidRPr="0099749D">
        <w:rPr>
          <w:szCs w:val="24"/>
        </w:rPr>
        <w:noBreakHyphen/>
      </w:r>
      <w:r w:rsidRPr="0099749D">
        <w:rPr>
          <w:szCs w:val="24"/>
        </w:rPr>
        <w:tab/>
        <w:t xml:space="preserve">Record Grants and Contribution Receivables </w:t>
      </w:r>
      <w:proofErr w:type="gramStart"/>
      <w:r w:rsidRPr="0099749D">
        <w:rPr>
          <w:szCs w:val="24"/>
        </w:rPr>
        <w:t>at</w:t>
      </w:r>
      <w:proofErr w:type="gramEnd"/>
      <w:r w:rsidRPr="0099749D">
        <w:rPr>
          <w:szCs w:val="24"/>
        </w:rPr>
        <w:t xml:space="preserve"> June 30 if, at that date:</w:t>
      </w:r>
    </w:p>
    <w:p w14:paraId="742CDBE7" w14:textId="77777777" w:rsidR="00A03152" w:rsidRPr="0099749D" w:rsidRDefault="00A03152" w:rsidP="00A03152">
      <w:pPr>
        <w:pStyle w:val="Bullet3"/>
        <w:spacing w:before="40" w:after="40"/>
        <w:ind w:hanging="450"/>
        <w:rPr>
          <w:szCs w:val="24"/>
        </w:rPr>
      </w:pPr>
      <w:r w:rsidRPr="0099749D">
        <w:rPr>
          <w:szCs w:val="24"/>
        </w:rPr>
        <w:t>*</w:t>
      </w:r>
      <w:r w:rsidRPr="0099749D">
        <w:rPr>
          <w:szCs w:val="24"/>
        </w:rPr>
        <w:tab/>
        <w:t>The revenue recognition criteria above have been met.</w:t>
      </w:r>
    </w:p>
    <w:p w14:paraId="77FD2493" w14:textId="77777777" w:rsidR="00A03152" w:rsidRPr="0099749D" w:rsidRDefault="00A03152" w:rsidP="00A03152">
      <w:pPr>
        <w:pStyle w:val="Bullet3"/>
        <w:spacing w:before="40" w:after="40"/>
        <w:ind w:hanging="450"/>
        <w:rPr>
          <w:szCs w:val="24"/>
        </w:rPr>
      </w:pPr>
      <w:r w:rsidRPr="0099749D">
        <w:rPr>
          <w:szCs w:val="24"/>
        </w:rPr>
        <w:t>*</w:t>
      </w:r>
      <w:r w:rsidRPr="0099749D">
        <w:rPr>
          <w:szCs w:val="24"/>
        </w:rPr>
        <w:tab/>
        <w:t>Payment from the grantor has not been received.</w:t>
      </w:r>
    </w:p>
    <w:p w14:paraId="45711EC0" w14:textId="77777777" w:rsidR="00A03152" w:rsidRPr="0099749D" w:rsidRDefault="00A03152" w:rsidP="00A03152">
      <w:pPr>
        <w:pStyle w:val="Bullet3"/>
        <w:spacing w:before="40" w:after="40"/>
        <w:ind w:left="1440" w:firstLine="0"/>
        <w:rPr>
          <w:szCs w:val="24"/>
        </w:rPr>
      </w:pPr>
      <w:r w:rsidRPr="00FA1C25">
        <w:rPr>
          <w:iCs/>
          <w:szCs w:val="24"/>
        </w:rPr>
        <w:t>Current</w:t>
      </w:r>
      <w:r w:rsidR="00440A89">
        <w:rPr>
          <w:rStyle w:val="FootnoteReference"/>
          <w:szCs w:val="24"/>
        </w:rPr>
        <w:footnoteReference w:id="12"/>
      </w:r>
      <w:r w:rsidRPr="00FA1C25">
        <w:rPr>
          <w:szCs w:val="24"/>
        </w:rPr>
        <w:t xml:space="preserve"> </w:t>
      </w:r>
      <w:r w:rsidRPr="0099749D">
        <w:rPr>
          <w:szCs w:val="24"/>
        </w:rPr>
        <w:t xml:space="preserve"> Grants and Contribution Receivables must be reported separately from </w:t>
      </w:r>
      <w:r w:rsidR="00440A89">
        <w:rPr>
          <w:szCs w:val="24"/>
        </w:rPr>
        <w:br/>
      </w:r>
      <w:proofErr w:type="gramStart"/>
      <w:r w:rsidRPr="00FA1C25">
        <w:rPr>
          <w:iCs/>
          <w:szCs w:val="24"/>
        </w:rPr>
        <w:t>Non-Current</w:t>
      </w:r>
      <w:proofErr w:type="gramEnd"/>
      <w:r w:rsidR="00440A89">
        <w:rPr>
          <w:rStyle w:val="FootnoteReference"/>
          <w:szCs w:val="24"/>
        </w:rPr>
        <w:footnoteReference w:id="13"/>
      </w:r>
      <w:r w:rsidRPr="00FA1C25">
        <w:rPr>
          <w:szCs w:val="24"/>
        </w:rPr>
        <w:t xml:space="preserve"> </w:t>
      </w:r>
      <w:r w:rsidRPr="0099749D">
        <w:rPr>
          <w:szCs w:val="24"/>
        </w:rPr>
        <w:t xml:space="preserve">Grants and Contribution Receivables for each accounting fund or grant within each accounting fund.  </w:t>
      </w:r>
      <w:r w:rsidRPr="0099749D">
        <w:rPr>
          <w:bCs/>
          <w:szCs w:val="24"/>
        </w:rPr>
        <w:t xml:space="preserve"> These amounts are required to be segregated on the face of the financial statements.</w:t>
      </w:r>
    </w:p>
    <w:p w14:paraId="1FB595A0" w14:textId="77777777" w:rsidR="00A03152" w:rsidRPr="0099749D" w:rsidRDefault="00A03152" w:rsidP="00A03152">
      <w:pPr>
        <w:pStyle w:val="Bullet2"/>
        <w:spacing w:before="40" w:after="40" w:line="240" w:lineRule="exact"/>
        <w:rPr>
          <w:szCs w:val="24"/>
        </w:rPr>
      </w:pPr>
      <w:r w:rsidRPr="0099749D">
        <w:rPr>
          <w:szCs w:val="24"/>
        </w:rPr>
        <w:noBreakHyphen/>
      </w:r>
      <w:r w:rsidRPr="0099749D">
        <w:rPr>
          <w:szCs w:val="24"/>
        </w:rPr>
        <w:noBreakHyphen/>
      </w:r>
      <w:r w:rsidRPr="0099749D">
        <w:rPr>
          <w:szCs w:val="24"/>
        </w:rPr>
        <w:tab/>
        <w:t xml:space="preserve">Record Deferred Revenue </w:t>
      </w:r>
      <w:proofErr w:type="gramStart"/>
      <w:r w:rsidRPr="0099749D">
        <w:rPr>
          <w:szCs w:val="24"/>
        </w:rPr>
        <w:t>at</w:t>
      </w:r>
      <w:proofErr w:type="gramEnd"/>
      <w:r w:rsidRPr="0099749D">
        <w:rPr>
          <w:szCs w:val="24"/>
        </w:rPr>
        <w:t xml:space="preserve"> June 30 if, at that date:</w:t>
      </w:r>
    </w:p>
    <w:p w14:paraId="1439E7DB" w14:textId="77777777" w:rsidR="00A03152" w:rsidRPr="0099749D" w:rsidRDefault="00A03152" w:rsidP="00A03152">
      <w:pPr>
        <w:pStyle w:val="Bullet3"/>
        <w:spacing w:before="40" w:after="40" w:line="240" w:lineRule="exact"/>
        <w:ind w:hanging="360"/>
        <w:rPr>
          <w:szCs w:val="24"/>
        </w:rPr>
      </w:pPr>
      <w:r w:rsidRPr="0099749D">
        <w:rPr>
          <w:szCs w:val="24"/>
        </w:rPr>
        <w:t>*</w:t>
      </w:r>
      <w:r w:rsidRPr="0099749D">
        <w:rPr>
          <w:szCs w:val="24"/>
        </w:rPr>
        <w:tab/>
        <w:t>Cash was received from the grantor.</w:t>
      </w:r>
    </w:p>
    <w:p w14:paraId="0C80700A" w14:textId="77777777" w:rsidR="00A03152" w:rsidRPr="0099749D" w:rsidRDefault="00A03152" w:rsidP="00A03152">
      <w:pPr>
        <w:pStyle w:val="Bullet3"/>
        <w:spacing w:before="40" w:after="40" w:line="240" w:lineRule="exact"/>
        <w:ind w:hanging="360"/>
        <w:rPr>
          <w:b/>
          <w:bCs/>
          <w:szCs w:val="24"/>
          <w:u w:val="single"/>
        </w:rPr>
      </w:pPr>
      <w:r w:rsidRPr="0099749D">
        <w:rPr>
          <w:szCs w:val="24"/>
        </w:rPr>
        <w:t>*</w:t>
      </w:r>
      <w:r w:rsidRPr="0099749D">
        <w:rPr>
          <w:szCs w:val="24"/>
        </w:rPr>
        <w:tab/>
        <w:t xml:space="preserve">All applicable eligibility requirements have </w:t>
      </w:r>
      <w:r w:rsidRPr="0099749D">
        <w:rPr>
          <w:b/>
          <w:szCs w:val="24"/>
          <w:u w:val="single"/>
        </w:rPr>
        <w:t>not</w:t>
      </w:r>
      <w:r w:rsidRPr="0099749D">
        <w:rPr>
          <w:szCs w:val="24"/>
        </w:rPr>
        <w:t xml:space="preserve"> been met.</w:t>
      </w:r>
      <w:r w:rsidRPr="0099749D">
        <w:rPr>
          <w:b/>
          <w:bCs/>
          <w:szCs w:val="24"/>
          <w:u w:val="single"/>
        </w:rPr>
        <w:t xml:space="preserve"> </w:t>
      </w:r>
    </w:p>
    <w:p w14:paraId="3656DAF1" w14:textId="09096A1A" w:rsidR="00A03152" w:rsidRPr="0099749D" w:rsidRDefault="00A03152" w:rsidP="00A03152">
      <w:pPr>
        <w:pStyle w:val="Bullet3"/>
        <w:spacing w:before="40" w:line="240" w:lineRule="exact"/>
        <w:ind w:left="1440" w:firstLine="0"/>
        <w:rPr>
          <w:szCs w:val="24"/>
        </w:rPr>
      </w:pPr>
      <w:r w:rsidRPr="0099749D">
        <w:rPr>
          <w:bCs/>
          <w:szCs w:val="24"/>
        </w:rPr>
        <w:t xml:space="preserve">The </w:t>
      </w:r>
      <w:r w:rsidRPr="0099749D">
        <w:rPr>
          <w:szCs w:val="24"/>
        </w:rPr>
        <w:t>Deferred Revenue should be segregated by grant purpose on the Grants and Contribution Receivables and Deferred Revenue Summary Form</w:t>
      </w:r>
      <w:r w:rsidR="00805B5D">
        <w:rPr>
          <w:szCs w:val="24"/>
        </w:rPr>
        <w:t>.</w:t>
      </w:r>
    </w:p>
    <w:p w14:paraId="3D1A28F1" w14:textId="77777777" w:rsidR="00A03152" w:rsidRPr="0099749D" w:rsidRDefault="00A03152" w:rsidP="00A03152">
      <w:pPr>
        <w:pStyle w:val="Bullet10"/>
        <w:keepNext/>
        <w:spacing w:after="80" w:line="240" w:lineRule="exact"/>
        <w:ind w:hanging="360"/>
        <w:rPr>
          <w:szCs w:val="24"/>
        </w:rPr>
      </w:pPr>
      <w:r w:rsidRPr="0099749D">
        <w:rPr>
          <w:szCs w:val="24"/>
        </w:rPr>
        <w:t>o</w:t>
      </w:r>
      <w:r w:rsidRPr="0099749D">
        <w:rPr>
          <w:szCs w:val="24"/>
        </w:rPr>
        <w:tab/>
      </w:r>
      <w:r w:rsidRPr="0099749D">
        <w:rPr>
          <w:i/>
          <w:iCs/>
          <w:szCs w:val="24"/>
        </w:rPr>
        <w:t xml:space="preserve">GOVERNMENTAL </w:t>
      </w:r>
    </w:p>
    <w:p w14:paraId="2FA173C7" w14:textId="77777777" w:rsidR="00A03152" w:rsidRPr="0099749D" w:rsidRDefault="00A03152" w:rsidP="00A03152">
      <w:pPr>
        <w:pStyle w:val="Bullet2"/>
        <w:spacing w:before="80" w:after="40" w:line="240" w:lineRule="exact"/>
        <w:rPr>
          <w:szCs w:val="24"/>
        </w:rPr>
      </w:pPr>
      <w:r w:rsidRPr="0099749D">
        <w:rPr>
          <w:szCs w:val="24"/>
        </w:rPr>
        <w:noBreakHyphen/>
      </w:r>
      <w:r w:rsidRPr="0099749D">
        <w:rPr>
          <w:szCs w:val="24"/>
        </w:rPr>
        <w:noBreakHyphen/>
      </w:r>
      <w:r w:rsidRPr="0099749D">
        <w:rPr>
          <w:szCs w:val="24"/>
        </w:rPr>
        <w:tab/>
        <w:t>Recognize Grants and Contribution Revenue when:</w:t>
      </w:r>
    </w:p>
    <w:p w14:paraId="5FE3650B" w14:textId="77777777" w:rsidR="00A03152" w:rsidRPr="0099749D" w:rsidRDefault="00A03152" w:rsidP="00A03152">
      <w:pPr>
        <w:pStyle w:val="Bullet3"/>
        <w:spacing w:before="40" w:after="40" w:line="240" w:lineRule="exact"/>
        <w:ind w:hanging="450"/>
        <w:rPr>
          <w:szCs w:val="24"/>
        </w:rPr>
      </w:pPr>
      <w:r w:rsidRPr="0099749D">
        <w:rPr>
          <w:szCs w:val="24"/>
        </w:rPr>
        <w:t>*</w:t>
      </w:r>
      <w:r w:rsidRPr="0099749D">
        <w:rPr>
          <w:szCs w:val="24"/>
        </w:rPr>
        <w:tab/>
        <w:t>All applicable eligibility requirements have been met.</w:t>
      </w:r>
    </w:p>
    <w:p w14:paraId="31A84956" w14:textId="77777777" w:rsidR="00A03152" w:rsidRPr="0099749D" w:rsidRDefault="00A03152" w:rsidP="00A03152">
      <w:pPr>
        <w:pStyle w:val="Bullet3"/>
        <w:spacing w:before="40" w:after="40" w:line="240" w:lineRule="exact"/>
        <w:ind w:hanging="450"/>
        <w:rPr>
          <w:szCs w:val="24"/>
        </w:rPr>
      </w:pPr>
      <w:r w:rsidRPr="0099749D">
        <w:rPr>
          <w:szCs w:val="24"/>
        </w:rPr>
        <w:t>*</w:t>
      </w:r>
      <w:r w:rsidRPr="0099749D">
        <w:rPr>
          <w:szCs w:val="24"/>
        </w:rPr>
        <w:tab/>
        <w:t>The grant funds or contributions are available</w:t>
      </w:r>
      <w:r w:rsidR="00440A89">
        <w:rPr>
          <w:rStyle w:val="FootnoteReference"/>
          <w:szCs w:val="24"/>
        </w:rPr>
        <w:footnoteReference w:id="14"/>
      </w:r>
      <w:r w:rsidRPr="0099749D">
        <w:rPr>
          <w:szCs w:val="24"/>
        </w:rPr>
        <w:t xml:space="preserve"> </w:t>
      </w:r>
      <w:proofErr w:type="gramStart"/>
      <w:r w:rsidRPr="0099749D">
        <w:rPr>
          <w:szCs w:val="24"/>
        </w:rPr>
        <w:t>at</w:t>
      </w:r>
      <w:proofErr w:type="gramEnd"/>
      <w:r w:rsidRPr="0099749D">
        <w:rPr>
          <w:szCs w:val="24"/>
        </w:rPr>
        <w:t xml:space="preserve"> June 30.  </w:t>
      </w:r>
    </w:p>
    <w:p w14:paraId="20124920" w14:textId="77777777" w:rsidR="00A03152" w:rsidRPr="0099749D" w:rsidRDefault="00A03152" w:rsidP="00440A89">
      <w:pPr>
        <w:pStyle w:val="Bullet2"/>
        <w:keepNext/>
        <w:spacing w:before="40" w:after="40" w:line="240" w:lineRule="exact"/>
        <w:rPr>
          <w:szCs w:val="24"/>
        </w:rPr>
      </w:pPr>
      <w:r w:rsidRPr="0099749D">
        <w:rPr>
          <w:szCs w:val="24"/>
        </w:rPr>
        <w:lastRenderedPageBreak/>
        <w:noBreakHyphen/>
      </w:r>
      <w:r w:rsidRPr="0099749D">
        <w:rPr>
          <w:szCs w:val="24"/>
        </w:rPr>
        <w:noBreakHyphen/>
      </w:r>
      <w:r w:rsidRPr="0099749D">
        <w:rPr>
          <w:szCs w:val="24"/>
        </w:rPr>
        <w:tab/>
        <w:t xml:space="preserve">Record Grants and Contribution Receivables </w:t>
      </w:r>
      <w:proofErr w:type="gramStart"/>
      <w:r w:rsidRPr="0099749D">
        <w:rPr>
          <w:szCs w:val="24"/>
        </w:rPr>
        <w:t>at</w:t>
      </w:r>
      <w:proofErr w:type="gramEnd"/>
      <w:r w:rsidRPr="0099749D">
        <w:rPr>
          <w:szCs w:val="24"/>
        </w:rPr>
        <w:t xml:space="preserve"> June 30 if, at that date:</w:t>
      </w:r>
    </w:p>
    <w:p w14:paraId="788C2524" w14:textId="77777777" w:rsidR="00A03152" w:rsidRPr="0099749D" w:rsidRDefault="00A03152" w:rsidP="00A03152">
      <w:pPr>
        <w:pStyle w:val="Bullet3"/>
        <w:spacing w:before="40" w:after="40" w:line="240" w:lineRule="exact"/>
        <w:ind w:hanging="450"/>
        <w:rPr>
          <w:szCs w:val="24"/>
        </w:rPr>
      </w:pPr>
      <w:r w:rsidRPr="0099749D">
        <w:rPr>
          <w:szCs w:val="24"/>
        </w:rPr>
        <w:t>*</w:t>
      </w:r>
      <w:r w:rsidRPr="0099749D">
        <w:rPr>
          <w:szCs w:val="24"/>
        </w:rPr>
        <w:tab/>
        <w:t>The revenue recognition criteria above have been met.</w:t>
      </w:r>
    </w:p>
    <w:p w14:paraId="3379D216" w14:textId="77777777" w:rsidR="00A03152" w:rsidRPr="0099749D" w:rsidRDefault="00A03152" w:rsidP="00A03152">
      <w:pPr>
        <w:pStyle w:val="Bullet3"/>
        <w:spacing w:before="40" w:after="40" w:line="240" w:lineRule="exact"/>
        <w:ind w:hanging="450"/>
        <w:rPr>
          <w:szCs w:val="24"/>
        </w:rPr>
      </w:pPr>
      <w:r w:rsidRPr="0099749D">
        <w:rPr>
          <w:szCs w:val="24"/>
        </w:rPr>
        <w:t>*</w:t>
      </w:r>
      <w:r w:rsidRPr="0099749D">
        <w:rPr>
          <w:szCs w:val="24"/>
        </w:rPr>
        <w:tab/>
        <w:t xml:space="preserve">The related cash has </w:t>
      </w:r>
      <w:r w:rsidRPr="0099749D">
        <w:rPr>
          <w:b/>
          <w:szCs w:val="24"/>
        </w:rPr>
        <w:t>not</w:t>
      </w:r>
      <w:r w:rsidRPr="0099749D">
        <w:rPr>
          <w:szCs w:val="24"/>
        </w:rPr>
        <w:t xml:space="preserve"> been received from the grantor.</w:t>
      </w:r>
    </w:p>
    <w:p w14:paraId="637D6125" w14:textId="7A58607D" w:rsidR="00A03152" w:rsidRPr="0099749D" w:rsidRDefault="00A03152" w:rsidP="00A03152">
      <w:pPr>
        <w:pStyle w:val="Bullet3"/>
        <w:spacing w:before="40" w:after="40" w:line="240" w:lineRule="exact"/>
        <w:ind w:left="1440" w:firstLine="0"/>
        <w:rPr>
          <w:szCs w:val="24"/>
        </w:rPr>
      </w:pPr>
      <w:r w:rsidRPr="0099749D">
        <w:rPr>
          <w:bCs/>
          <w:szCs w:val="24"/>
        </w:rPr>
        <w:t xml:space="preserve">Current and Non-current portions of receivables are required to be reported on </w:t>
      </w:r>
      <w:r w:rsidRPr="0099749D">
        <w:rPr>
          <w:szCs w:val="24"/>
        </w:rPr>
        <w:t>the Grants and Contribution Receivables and Deferred Revenue Summary Form</w:t>
      </w:r>
      <w:r w:rsidR="00805B5D">
        <w:rPr>
          <w:szCs w:val="24"/>
        </w:rPr>
        <w:t>.</w:t>
      </w:r>
    </w:p>
    <w:p w14:paraId="5C04A966" w14:textId="77777777" w:rsidR="00A03152" w:rsidRPr="0099749D" w:rsidRDefault="00A03152" w:rsidP="00DD4167">
      <w:pPr>
        <w:pStyle w:val="Bullet2"/>
        <w:keepNext/>
        <w:spacing w:before="40" w:after="40" w:line="240" w:lineRule="exact"/>
        <w:rPr>
          <w:szCs w:val="24"/>
        </w:rPr>
      </w:pPr>
      <w:r w:rsidRPr="0099749D">
        <w:rPr>
          <w:szCs w:val="24"/>
        </w:rPr>
        <w:noBreakHyphen/>
      </w:r>
      <w:r w:rsidRPr="0099749D">
        <w:rPr>
          <w:szCs w:val="24"/>
        </w:rPr>
        <w:noBreakHyphen/>
      </w:r>
      <w:r w:rsidRPr="0099749D">
        <w:rPr>
          <w:szCs w:val="24"/>
        </w:rPr>
        <w:tab/>
        <w:t xml:space="preserve">Record Deferred Revenue </w:t>
      </w:r>
      <w:proofErr w:type="gramStart"/>
      <w:r w:rsidRPr="0099749D">
        <w:rPr>
          <w:szCs w:val="24"/>
        </w:rPr>
        <w:t>at</w:t>
      </w:r>
      <w:proofErr w:type="gramEnd"/>
      <w:r w:rsidRPr="0099749D">
        <w:rPr>
          <w:szCs w:val="24"/>
        </w:rPr>
        <w:t xml:space="preserve"> June 30 if </w:t>
      </w:r>
      <w:r w:rsidRPr="0099749D">
        <w:rPr>
          <w:b/>
          <w:bCs/>
          <w:szCs w:val="24"/>
        </w:rPr>
        <w:t>either</w:t>
      </w:r>
      <w:r w:rsidRPr="0099749D">
        <w:rPr>
          <w:szCs w:val="24"/>
        </w:rPr>
        <w:t xml:space="preserve"> of the following is true:</w:t>
      </w:r>
    </w:p>
    <w:p w14:paraId="39E3898B" w14:textId="77777777" w:rsidR="00A03152" w:rsidRPr="0099749D" w:rsidRDefault="00A03152" w:rsidP="00A03152">
      <w:pPr>
        <w:pStyle w:val="Bullet3"/>
        <w:spacing w:before="40" w:after="40" w:line="240" w:lineRule="exact"/>
        <w:ind w:hanging="360"/>
        <w:rPr>
          <w:szCs w:val="24"/>
        </w:rPr>
      </w:pPr>
      <w:r w:rsidRPr="0099749D">
        <w:rPr>
          <w:szCs w:val="24"/>
        </w:rPr>
        <w:t>*</w:t>
      </w:r>
      <w:r w:rsidRPr="0099749D">
        <w:rPr>
          <w:szCs w:val="24"/>
        </w:rPr>
        <w:tab/>
        <w:t xml:space="preserve">Cash has been received on or before June </w:t>
      </w:r>
      <w:proofErr w:type="gramStart"/>
      <w:r w:rsidRPr="0099749D">
        <w:rPr>
          <w:szCs w:val="24"/>
        </w:rPr>
        <w:t>30</w:t>
      </w:r>
      <w:proofErr w:type="gramEnd"/>
      <w:r w:rsidRPr="0099749D">
        <w:rPr>
          <w:szCs w:val="24"/>
        </w:rPr>
        <w:t xml:space="preserve"> but all applicable eligibility requirements have </w:t>
      </w:r>
      <w:r w:rsidRPr="0099749D">
        <w:rPr>
          <w:b/>
          <w:szCs w:val="24"/>
          <w:u w:val="single"/>
        </w:rPr>
        <w:t>not</w:t>
      </w:r>
      <w:r w:rsidRPr="0099749D">
        <w:rPr>
          <w:szCs w:val="24"/>
        </w:rPr>
        <w:t xml:space="preserve"> been met.</w:t>
      </w:r>
    </w:p>
    <w:p w14:paraId="69206B04" w14:textId="77777777" w:rsidR="00A03152" w:rsidRPr="0099749D" w:rsidRDefault="00A03152" w:rsidP="00A03152">
      <w:pPr>
        <w:pStyle w:val="Bullet3"/>
        <w:spacing w:before="40" w:after="40" w:line="240" w:lineRule="exact"/>
        <w:ind w:hanging="360"/>
        <w:rPr>
          <w:szCs w:val="24"/>
        </w:rPr>
      </w:pPr>
      <w:r w:rsidRPr="0099749D">
        <w:rPr>
          <w:szCs w:val="24"/>
        </w:rPr>
        <w:t>*</w:t>
      </w:r>
      <w:r w:rsidRPr="0099749D">
        <w:rPr>
          <w:szCs w:val="24"/>
        </w:rPr>
        <w:tab/>
        <w:t>All applicable eligibility requirements have been met but the grant funds or contributions are not yet available</w:t>
      </w:r>
      <w:r w:rsidR="00440A89">
        <w:rPr>
          <w:rStyle w:val="FootnoteReference"/>
          <w:szCs w:val="24"/>
        </w:rPr>
        <w:footnoteReference w:id="15"/>
      </w:r>
      <w:r w:rsidRPr="0099749D">
        <w:rPr>
          <w:szCs w:val="24"/>
        </w:rPr>
        <w:t xml:space="preserve">. This situation results in a DR to Non-Current Receivables and a CR to Deferred Revenue.  </w:t>
      </w:r>
    </w:p>
    <w:p w14:paraId="1BB66A46" w14:textId="7A613CA5" w:rsidR="00A03152" w:rsidRPr="0099749D" w:rsidRDefault="00A03152" w:rsidP="00A03152">
      <w:pPr>
        <w:pStyle w:val="Bullet3"/>
        <w:spacing w:before="40" w:after="40" w:line="240" w:lineRule="exact"/>
        <w:ind w:left="1440" w:firstLine="0"/>
        <w:rPr>
          <w:szCs w:val="24"/>
        </w:rPr>
      </w:pPr>
      <w:r w:rsidRPr="0099749D">
        <w:rPr>
          <w:szCs w:val="24"/>
        </w:rPr>
        <w:t>Deferred Revenue should be segregated by grant purpose on the Grants and Contribution Receivables and Deferred Revenue Summary Form</w:t>
      </w:r>
      <w:r w:rsidR="00805B5D">
        <w:rPr>
          <w:szCs w:val="24"/>
        </w:rPr>
        <w:t>.</w:t>
      </w:r>
    </w:p>
    <w:p w14:paraId="4017AF89" w14:textId="77777777" w:rsidR="00A03152" w:rsidRPr="0099749D" w:rsidRDefault="00A03152" w:rsidP="00A03152">
      <w:pPr>
        <w:pStyle w:val="Bullet10"/>
        <w:keepNext/>
        <w:spacing w:after="40" w:line="240" w:lineRule="exact"/>
        <w:ind w:hanging="360"/>
        <w:rPr>
          <w:szCs w:val="24"/>
        </w:rPr>
      </w:pPr>
      <w:r w:rsidRPr="0099749D">
        <w:rPr>
          <w:szCs w:val="24"/>
        </w:rPr>
        <w:t>o</w:t>
      </w:r>
      <w:r w:rsidRPr="0099749D">
        <w:rPr>
          <w:szCs w:val="24"/>
        </w:rPr>
        <w:tab/>
      </w:r>
      <w:r w:rsidRPr="0099749D">
        <w:rPr>
          <w:i/>
          <w:iCs/>
          <w:szCs w:val="24"/>
        </w:rPr>
        <w:t xml:space="preserve">AGENCY </w:t>
      </w:r>
    </w:p>
    <w:p w14:paraId="67B5E5C5" w14:textId="77777777" w:rsidR="00A03152" w:rsidRPr="0099749D" w:rsidRDefault="00A03152" w:rsidP="009B555D">
      <w:pPr>
        <w:pStyle w:val="Indent1"/>
        <w:keepNext/>
        <w:spacing w:after="40"/>
        <w:ind w:left="1440"/>
        <w:rPr>
          <w:szCs w:val="24"/>
        </w:rPr>
      </w:pPr>
      <w:r w:rsidRPr="0099749D">
        <w:rPr>
          <w:szCs w:val="24"/>
        </w:rPr>
        <w:t xml:space="preserve">Record Grants and Contribution Receivables (and equal liabilities) </w:t>
      </w:r>
      <w:proofErr w:type="gramStart"/>
      <w:r w:rsidRPr="0099749D">
        <w:rPr>
          <w:szCs w:val="24"/>
        </w:rPr>
        <w:t>at</w:t>
      </w:r>
      <w:proofErr w:type="gramEnd"/>
      <w:r w:rsidRPr="0099749D">
        <w:rPr>
          <w:szCs w:val="24"/>
        </w:rPr>
        <w:t xml:space="preserve"> June 30 if, at that date:</w:t>
      </w:r>
    </w:p>
    <w:p w14:paraId="483CAFF3" w14:textId="77777777" w:rsidR="00A03152" w:rsidRPr="0099749D" w:rsidRDefault="00A03152" w:rsidP="00A03152">
      <w:pPr>
        <w:pStyle w:val="Bullet2"/>
        <w:spacing w:before="40" w:after="40"/>
        <w:ind w:left="1980" w:hanging="360"/>
        <w:rPr>
          <w:szCs w:val="24"/>
        </w:rPr>
      </w:pPr>
      <w:r w:rsidRPr="0099749D">
        <w:rPr>
          <w:szCs w:val="24"/>
        </w:rPr>
        <w:t>--</w:t>
      </w:r>
      <w:r w:rsidRPr="0099749D">
        <w:rPr>
          <w:szCs w:val="24"/>
        </w:rPr>
        <w:tab/>
        <w:t>All applicable eligibility requirements have been met.</w:t>
      </w:r>
    </w:p>
    <w:p w14:paraId="5B36E101" w14:textId="77777777" w:rsidR="00A03152" w:rsidRPr="0099749D" w:rsidRDefault="00A03152" w:rsidP="00A03152">
      <w:pPr>
        <w:pStyle w:val="Bullet2"/>
        <w:spacing w:before="40"/>
        <w:ind w:left="1980" w:hanging="360"/>
        <w:rPr>
          <w:szCs w:val="24"/>
        </w:rPr>
      </w:pPr>
      <w:r w:rsidRPr="0099749D">
        <w:rPr>
          <w:szCs w:val="24"/>
        </w:rPr>
        <w:t>--</w:t>
      </w:r>
      <w:r w:rsidRPr="0099749D">
        <w:rPr>
          <w:szCs w:val="24"/>
        </w:rPr>
        <w:tab/>
        <w:t xml:space="preserve">The related cash has </w:t>
      </w:r>
      <w:r w:rsidRPr="0099749D">
        <w:rPr>
          <w:b/>
          <w:szCs w:val="24"/>
        </w:rPr>
        <w:t>not</w:t>
      </w:r>
      <w:r w:rsidRPr="0099749D">
        <w:rPr>
          <w:szCs w:val="24"/>
        </w:rPr>
        <w:t xml:space="preserve"> been received from the grantor.  </w:t>
      </w:r>
    </w:p>
    <w:p w14:paraId="6362DA7F" w14:textId="77777777" w:rsidR="00A03152" w:rsidRPr="0099749D" w:rsidRDefault="00A03152" w:rsidP="00A03152">
      <w:pPr>
        <w:spacing w:before="80" w:after="80" w:line="240" w:lineRule="exact"/>
        <w:rPr>
          <w:szCs w:val="24"/>
        </w:rPr>
      </w:pPr>
      <w:r w:rsidRPr="0099749D">
        <w:rPr>
          <w:szCs w:val="24"/>
        </w:rPr>
        <w:t>Policies of the Comptroller General’s Office require that agencies account for certain Grant Revenues in certain funds.  Specifically:</w:t>
      </w:r>
    </w:p>
    <w:p w14:paraId="626532FF" w14:textId="77777777" w:rsidR="00A03152" w:rsidRPr="0099749D" w:rsidRDefault="00A03152" w:rsidP="00A03152">
      <w:pPr>
        <w:pStyle w:val="Bullet10"/>
        <w:spacing w:before="80" w:after="80" w:line="240" w:lineRule="exact"/>
        <w:ind w:hanging="360"/>
        <w:rPr>
          <w:szCs w:val="24"/>
        </w:rPr>
      </w:pPr>
      <w:r w:rsidRPr="0099749D">
        <w:rPr>
          <w:szCs w:val="24"/>
        </w:rPr>
        <w:t>o</w:t>
      </w:r>
      <w:r w:rsidRPr="0099749D">
        <w:rPr>
          <w:szCs w:val="24"/>
        </w:rPr>
        <w:tab/>
        <w:t>Use Capital Projects, Enterprise, Internal Service or Trust Funds to account for capital grants</w:t>
      </w:r>
      <w:r w:rsidR="00440A89">
        <w:rPr>
          <w:rStyle w:val="FootnoteReference"/>
          <w:szCs w:val="24"/>
        </w:rPr>
        <w:footnoteReference w:id="16"/>
      </w:r>
      <w:r w:rsidRPr="0099749D">
        <w:rPr>
          <w:szCs w:val="24"/>
        </w:rPr>
        <w:t xml:space="preserve">.  </w:t>
      </w:r>
    </w:p>
    <w:p w14:paraId="5F6239F3" w14:textId="77777777" w:rsidR="00A03152" w:rsidRPr="0099749D" w:rsidRDefault="00A03152" w:rsidP="00A03152">
      <w:pPr>
        <w:pStyle w:val="Bullet10"/>
        <w:spacing w:before="80" w:after="80" w:line="240" w:lineRule="exact"/>
        <w:ind w:hanging="360"/>
        <w:rPr>
          <w:szCs w:val="24"/>
        </w:rPr>
      </w:pPr>
      <w:r w:rsidRPr="0099749D">
        <w:rPr>
          <w:szCs w:val="24"/>
        </w:rPr>
        <w:t>o</w:t>
      </w:r>
      <w:r w:rsidRPr="0099749D">
        <w:rPr>
          <w:szCs w:val="24"/>
        </w:rPr>
        <w:tab/>
        <w:t>Use Agency Funds to account for certain grant funds that agencies receive and then pass through to non-State agencies only where the State acts as a cash conduit.  (This is unusual.)</w:t>
      </w:r>
    </w:p>
    <w:p w14:paraId="56560CE5" w14:textId="77777777" w:rsidR="00A03152" w:rsidRPr="0058150D" w:rsidRDefault="00A03152" w:rsidP="00DD4167">
      <w:pPr>
        <w:pStyle w:val="Heading3"/>
      </w:pPr>
      <w:bookmarkStart w:id="207" w:name="_Toc296247817"/>
      <w:bookmarkStart w:id="208" w:name="_Toc166149251"/>
      <w:r w:rsidRPr="0058150D">
        <w:t>Amounts to Report or Disclose</w:t>
      </w:r>
      <w:bookmarkEnd w:id="207"/>
      <w:bookmarkEnd w:id="208"/>
    </w:p>
    <w:p w14:paraId="3E39A36E" w14:textId="77777777" w:rsidR="00A03152" w:rsidRPr="0099749D" w:rsidRDefault="00A03152" w:rsidP="00A03152">
      <w:pPr>
        <w:spacing w:before="80" w:after="80" w:line="240" w:lineRule="exact"/>
        <w:rPr>
          <w:szCs w:val="24"/>
        </w:rPr>
      </w:pPr>
      <w:r w:rsidRPr="0099749D">
        <w:rPr>
          <w:szCs w:val="24"/>
        </w:rPr>
        <w:t xml:space="preserve">Based on discussions with staff of the Governmental Accounting Standards Board, the Comptroller General’s Office has determined that </w:t>
      </w:r>
      <w:r w:rsidRPr="0099749D">
        <w:rPr>
          <w:b/>
          <w:szCs w:val="24"/>
        </w:rPr>
        <w:t>all Federal grants include eligibility requirements</w:t>
      </w:r>
      <w:r w:rsidRPr="0099749D">
        <w:rPr>
          <w:szCs w:val="24"/>
        </w:rPr>
        <w:t xml:space="preserve"> unless there is an indefinite </w:t>
      </w:r>
      <w:proofErr w:type="gramStart"/>
      <w:r w:rsidRPr="0099749D">
        <w:rPr>
          <w:szCs w:val="24"/>
        </w:rPr>
        <w:t>time period</w:t>
      </w:r>
      <w:proofErr w:type="gramEnd"/>
      <w:r w:rsidRPr="0099749D">
        <w:rPr>
          <w:szCs w:val="24"/>
        </w:rPr>
        <w:t xml:space="preserve"> during which the funds may be spent.  If you have a </w:t>
      </w:r>
      <w:proofErr w:type="gramStart"/>
      <w:r w:rsidRPr="0099749D">
        <w:rPr>
          <w:szCs w:val="24"/>
        </w:rPr>
        <w:t>Federal</w:t>
      </w:r>
      <w:proofErr w:type="gramEnd"/>
      <w:r w:rsidRPr="0099749D">
        <w:rPr>
          <w:szCs w:val="24"/>
        </w:rPr>
        <w:t xml:space="preserve"> grant with an indefinite time period, please contact the Central State Financial Reporting Division of the Comptroller General’s Office prior to submission of your agency’s reporting package.</w:t>
      </w:r>
    </w:p>
    <w:p w14:paraId="443F7E90" w14:textId="77777777" w:rsidR="00A03152" w:rsidRPr="0099749D" w:rsidRDefault="00A03152" w:rsidP="0058150D">
      <w:pPr>
        <w:pStyle w:val="BodyText2"/>
        <w:spacing w:line="240" w:lineRule="auto"/>
        <w:rPr>
          <w:szCs w:val="24"/>
        </w:rPr>
      </w:pPr>
      <w:r w:rsidRPr="0099749D">
        <w:rPr>
          <w:szCs w:val="24"/>
        </w:rPr>
        <w:t>Thus, for all Federal grants, an expenditure must occur before revenue is recognized or a receivable is recorded.</w:t>
      </w:r>
    </w:p>
    <w:p w14:paraId="52E73EB7" w14:textId="77777777" w:rsidR="00A03152" w:rsidRPr="0099749D" w:rsidRDefault="00A03152" w:rsidP="00A03152">
      <w:pPr>
        <w:spacing w:before="80" w:after="80" w:line="240" w:lineRule="exact"/>
        <w:rPr>
          <w:szCs w:val="24"/>
        </w:rPr>
      </w:pPr>
      <w:r w:rsidRPr="0099749D">
        <w:rPr>
          <w:szCs w:val="24"/>
        </w:rPr>
        <w:t xml:space="preserve">Do not report Grants Receivable for payroll expenditures incurred in June but paid in July.  The Comptroller General’s Office will prepare an adjusting entry to record receivables applicable to grant payroll accruals.  If funds have been drawn before June 30 for the July 1 payroll, include these amounts as receipts on the Grants Analysis Worksheet to determine if deferred revenue should be reported. </w:t>
      </w:r>
    </w:p>
    <w:p w14:paraId="0C5DDB9C" w14:textId="77777777" w:rsidR="00A03152" w:rsidRPr="0099749D" w:rsidRDefault="00A03152" w:rsidP="00A03152">
      <w:pPr>
        <w:spacing w:after="40" w:line="240" w:lineRule="exact"/>
        <w:rPr>
          <w:szCs w:val="24"/>
        </w:rPr>
      </w:pPr>
      <w:r w:rsidRPr="0099749D">
        <w:rPr>
          <w:szCs w:val="24"/>
        </w:rPr>
        <w:t>Eligibility requirements fall into four categories:</w:t>
      </w:r>
    </w:p>
    <w:p w14:paraId="07BE9D15" w14:textId="77777777" w:rsidR="00A03152" w:rsidRPr="0099749D" w:rsidRDefault="00A03152" w:rsidP="00A03152">
      <w:pPr>
        <w:pStyle w:val="Bullet10"/>
        <w:spacing w:before="40" w:after="40" w:line="240" w:lineRule="exact"/>
        <w:ind w:hanging="360"/>
        <w:rPr>
          <w:szCs w:val="24"/>
        </w:rPr>
      </w:pPr>
      <w:r w:rsidRPr="0099749D">
        <w:rPr>
          <w:szCs w:val="24"/>
        </w:rPr>
        <w:t>o</w:t>
      </w:r>
      <w:r w:rsidRPr="0099749D">
        <w:rPr>
          <w:szCs w:val="24"/>
        </w:rPr>
        <w:tab/>
      </w:r>
      <w:r w:rsidRPr="0099749D">
        <w:rPr>
          <w:i/>
          <w:iCs/>
          <w:szCs w:val="24"/>
        </w:rPr>
        <w:t>Required Recipient Characteristics</w:t>
      </w:r>
      <w:r w:rsidRPr="0099749D">
        <w:rPr>
          <w:szCs w:val="24"/>
        </w:rPr>
        <w:t xml:space="preserve">.  The recipient must possess the characteristics specified by the award or program.  </w:t>
      </w:r>
    </w:p>
    <w:p w14:paraId="369CE4F4" w14:textId="77777777" w:rsidR="00A03152" w:rsidRPr="0099749D" w:rsidRDefault="00A03152" w:rsidP="00A03152">
      <w:pPr>
        <w:pStyle w:val="Bullet10"/>
        <w:spacing w:before="40" w:after="40" w:line="240" w:lineRule="exact"/>
        <w:ind w:hanging="360"/>
        <w:rPr>
          <w:szCs w:val="24"/>
        </w:rPr>
      </w:pPr>
      <w:r w:rsidRPr="0099749D">
        <w:rPr>
          <w:szCs w:val="24"/>
        </w:rPr>
        <w:lastRenderedPageBreak/>
        <w:t>o</w:t>
      </w:r>
      <w:r w:rsidRPr="0099749D">
        <w:rPr>
          <w:szCs w:val="24"/>
        </w:rPr>
        <w:tab/>
      </w:r>
      <w:r w:rsidRPr="0099749D">
        <w:rPr>
          <w:i/>
          <w:iCs/>
          <w:szCs w:val="24"/>
        </w:rPr>
        <w:t>Time Requirements</w:t>
      </w:r>
      <w:r w:rsidRPr="0099749D">
        <w:rPr>
          <w:szCs w:val="24"/>
        </w:rPr>
        <w:t xml:space="preserve">.  The </w:t>
      </w:r>
      <w:proofErr w:type="gramStart"/>
      <w:r w:rsidRPr="0099749D">
        <w:rPr>
          <w:szCs w:val="24"/>
        </w:rPr>
        <w:t>time period</w:t>
      </w:r>
      <w:proofErr w:type="gramEnd"/>
      <w:r w:rsidRPr="0099749D">
        <w:rPr>
          <w:szCs w:val="24"/>
        </w:rPr>
        <w:t xml:space="preserve"> specified by enabling legislation, the grantor, or the external contributor.  </w:t>
      </w:r>
    </w:p>
    <w:p w14:paraId="3C083291" w14:textId="77777777" w:rsidR="00A03152" w:rsidRPr="0099749D" w:rsidRDefault="00A03152" w:rsidP="00A03152">
      <w:pPr>
        <w:pStyle w:val="Bullet10"/>
        <w:spacing w:before="40" w:after="40" w:line="240" w:lineRule="exact"/>
        <w:ind w:hanging="360"/>
        <w:rPr>
          <w:szCs w:val="24"/>
        </w:rPr>
      </w:pPr>
      <w:r w:rsidRPr="0099749D">
        <w:rPr>
          <w:szCs w:val="24"/>
        </w:rPr>
        <w:t>o</w:t>
      </w:r>
      <w:r w:rsidRPr="0099749D">
        <w:rPr>
          <w:szCs w:val="24"/>
        </w:rPr>
        <w:tab/>
      </w:r>
      <w:r w:rsidRPr="0099749D">
        <w:rPr>
          <w:i/>
          <w:iCs/>
          <w:szCs w:val="24"/>
        </w:rPr>
        <w:t>Reimbursements</w:t>
      </w:r>
      <w:r w:rsidRPr="0099749D">
        <w:rPr>
          <w:szCs w:val="24"/>
        </w:rPr>
        <w:t xml:space="preserve">.  Allowable costs as defined in the award or program specifications must be incurred prior to the receipt of resources. </w:t>
      </w:r>
    </w:p>
    <w:p w14:paraId="2188BAEC" w14:textId="77777777" w:rsidR="00A03152" w:rsidRPr="0099749D" w:rsidRDefault="00A03152" w:rsidP="00A03152">
      <w:pPr>
        <w:pStyle w:val="Bullet10"/>
        <w:spacing w:before="40" w:after="40" w:line="240" w:lineRule="exact"/>
        <w:ind w:hanging="360"/>
        <w:rPr>
          <w:szCs w:val="24"/>
        </w:rPr>
      </w:pPr>
      <w:r w:rsidRPr="0099749D">
        <w:rPr>
          <w:szCs w:val="24"/>
        </w:rPr>
        <w:t>o</w:t>
      </w:r>
      <w:r w:rsidRPr="0099749D">
        <w:rPr>
          <w:szCs w:val="24"/>
        </w:rPr>
        <w:tab/>
      </w:r>
      <w:r w:rsidRPr="0099749D">
        <w:rPr>
          <w:i/>
          <w:iCs/>
          <w:szCs w:val="24"/>
        </w:rPr>
        <w:t>Required Actions</w:t>
      </w:r>
      <w:r w:rsidRPr="0099749D">
        <w:rPr>
          <w:szCs w:val="24"/>
        </w:rPr>
        <w:t>.  The grant or contribution recipient must perform certain actions prior to qualifying for funds.</w:t>
      </w:r>
    </w:p>
    <w:p w14:paraId="1577A5D6" w14:textId="77777777" w:rsidR="00A03152" w:rsidRPr="0099749D" w:rsidRDefault="00A03152" w:rsidP="00A03152">
      <w:pPr>
        <w:pStyle w:val="Bullet10"/>
        <w:spacing w:line="240" w:lineRule="exact"/>
        <w:ind w:left="0" w:firstLine="0"/>
        <w:rPr>
          <w:szCs w:val="24"/>
        </w:rPr>
      </w:pPr>
      <w:r w:rsidRPr="0099749D">
        <w:rPr>
          <w:szCs w:val="24"/>
        </w:rPr>
        <w:t>A grant or contribution may possess one or all four types of the above eligibility requirements.</w:t>
      </w:r>
    </w:p>
    <w:p w14:paraId="2A21BBC4" w14:textId="77777777" w:rsidR="00A03152" w:rsidRPr="0058150D" w:rsidRDefault="00A03152" w:rsidP="00DD4167">
      <w:pPr>
        <w:pStyle w:val="Heading4"/>
      </w:pPr>
      <w:r w:rsidRPr="0058150D">
        <w:t>Grant Resources Passed Through to Other State Agencies</w:t>
      </w:r>
    </w:p>
    <w:p w14:paraId="6B2D0A71" w14:textId="77777777" w:rsidR="00A03152" w:rsidRPr="0099749D" w:rsidRDefault="00A03152" w:rsidP="00A03152">
      <w:pPr>
        <w:spacing w:after="40" w:line="240" w:lineRule="exact"/>
        <w:rPr>
          <w:szCs w:val="24"/>
        </w:rPr>
      </w:pPr>
      <w:r w:rsidRPr="0099749D">
        <w:rPr>
          <w:szCs w:val="24"/>
        </w:rPr>
        <w:t>Some State agencies pass through grant resources to other State agencies.  For example:</w:t>
      </w:r>
    </w:p>
    <w:p w14:paraId="39F692C1" w14:textId="77777777" w:rsidR="00A03152" w:rsidRPr="0099749D" w:rsidRDefault="00A03152" w:rsidP="00A03152">
      <w:pPr>
        <w:pStyle w:val="Bullet10"/>
        <w:spacing w:before="40" w:line="240" w:lineRule="exact"/>
        <w:ind w:hanging="360"/>
        <w:rPr>
          <w:szCs w:val="24"/>
        </w:rPr>
      </w:pPr>
      <w:r w:rsidRPr="0099749D">
        <w:rPr>
          <w:szCs w:val="24"/>
        </w:rPr>
        <w:t>o</w:t>
      </w:r>
      <w:r w:rsidRPr="0099749D">
        <w:rPr>
          <w:szCs w:val="24"/>
        </w:rPr>
        <w:tab/>
        <w:t xml:space="preserve">the Grant program requires pass-through to satisfy grantor program requirements. </w:t>
      </w:r>
    </w:p>
    <w:p w14:paraId="4368B9C6" w14:textId="77777777" w:rsidR="00A03152" w:rsidRPr="0099749D" w:rsidRDefault="00A03152" w:rsidP="00A03152">
      <w:pPr>
        <w:pStyle w:val="Bullet10"/>
        <w:spacing w:before="40" w:line="240" w:lineRule="exact"/>
        <w:ind w:hanging="360"/>
        <w:rPr>
          <w:szCs w:val="24"/>
        </w:rPr>
      </w:pPr>
      <w:r w:rsidRPr="0099749D">
        <w:rPr>
          <w:szCs w:val="24"/>
        </w:rPr>
        <w:t>o</w:t>
      </w:r>
      <w:r w:rsidRPr="0099749D">
        <w:rPr>
          <w:szCs w:val="24"/>
        </w:rPr>
        <w:tab/>
        <w:t>Block grants or entitlements are provided to a designated agency for distribution to other State agencies (grant subrecipients).</w:t>
      </w:r>
    </w:p>
    <w:p w14:paraId="23ABBB98" w14:textId="77777777" w:rsidR="00A03152" w:rsidRPr="0099749D" w:rsidRDefault="00A03152" w:rsidP="00A03152">
      <w:pPr>
        <w:spacing w:line="240" w:lineRule="exact"/>
        <w:rPr>
          <w:b/>
          <w:szCs w:val="24"/>
        </w:rPr>
      </w:pPr>
      <w:r w:rsidRPr="0099749D">
        <w:rPr>
          <w:szCs w:val="24"/>
        </w:rPr>
        <w:t>Amounts that an agency pays State or non-State entities under fee-for-service contracts are not considered pass-through grants.</w:t>
      </w:r>
      <w:r w:rsidRPr="0099749D">
        <w:rPr>
          <w:szCs w:val="24"/>
          <w:u w:val="single"/>
        </w:rPr>
        <w:t xml:space="preserve">  </w:t>
      </w:r>
    </w:p>
    <w:p w14:paraId="0E4887D2" w14:textId="77777777" w:rsidR="00A03152" w:rsidRPr="0058150D" w:rsidRDefault="00A03152" w:rsidP="00DD4167">
      <w:pPr>
        <w:pStyle w:val="Heading4"/>
      </w:pPr>
      <w:r w:rsidRPr="0058150D">
        <w:t>Grant Resources Passed Through to Non-State Parties</w:t>
      </w:r>
    </w:p>
    <w:p w14:paraId="0F8F2F5A" w14:textId="77777777" w:rsidR="00A03152" w:rsidRPr="0099749D" w:rsidRDefault="00A03152" w:rsidP="00A03152">
      <w:pPr>
        <w:spacing w:after="40" w:line="240" w:lineRule="exact"/>
        <w:rPr>
          <w:szCs w:val="24"/>
        </w:rPr>
      </w:pPr>
      <w:r w:rsidRPr="0099749D">
        <w:rPr>
          <w:szCs w:val="24"/>
        </w:rPr>
        <w:t xml:space="preserve">Some State agencies receive grant resources that they pass through to </w:t>
      </w:r>
      <w:r w:rsidRPr="0099749D">
        <w:rPr>
          <w:szCs w:val="24"/>
          <w:u w:val="words"/>
        </w:rPr>
        <w:t>non-State</w:t>
      </w:r>
      <w:r w:rsidRPr="0099749D">
        <w:rPr>
          <w:szCs w:val="24"/>
        </w:rPr>
        <w:t xml:space="preserve"> grant subrecipients.  For some such programs, the State </w:t>
      </w:r>
      <w:r w:rsidRPr="0099749D">
        <w:rPr>
          <w:szCs w:val="24"/>
          <w:u w:val="words"/>
        </w:rPr>
        <w:t>must</w:t>
      </w:r>
      <w:r w:rsidRPr="0099749D">
        <w:rPr>
          <w:szCs w:val="24"/>
        </w:rPr>
        <w:t xml:space="preserve"> pass through </w:t>
      </w:r>
      <w:proofErr w:type="gramStart"/>
      <w:r w:rsidRPr="0099749D">
        <w:rPr>
          <w:szCs w:val="24"/>
        </w:rPr>
        <w:t>all of</w:t>
      </w:r>
      <w:proofErr w:type="gramEnd"/>
      <w:r w:rsidRPr="0099749D">
        <w:rPr>
          <w:szCs w:val="24"/>
        </w:rPr>
        <w:t xml:space="preserve"> the money to non-State parties.  In other cases, the State </w:t>
      </w:r>
      <w:r w:rsidRPr="0099749D">
        <w:rPr>
          <w:szCs w:val="24"/>
          <w:u w:val="single"/>
        </w:rPr>
        <w:t>may choose</w:t>
      </w:r>
      <w:r w:rsidRPr="0099749D">
        <w:rPr>
          <w:szCs w:val="24"/>
        </w:rPr>
        <w:t xml:space="preserve"> to use some of the funds and pass through some to non-State parties.  </w:t>
      </w:r>
    </w:p>
    <w:p w14:paraId="03183BAF" w14:textId="77777777" w:rsidR="00A03152" w:rsidRPr="0099749D" w:rsidRDefault="00A03152" w:rsidP="00A03152">
      <w:pPr>
        <w:spacing w:after="40" w:line="240" w:lineRule="exact"/>
        <w:rPr>
          <w:szCs w:val="24"/>
        </w:rPr>
      </w:pPr>
      <w:r w:rsidRPr="0099749D">
        <w:rPr>
          <w:szCs w:val="24"/>
        </w:rPr>
        <w:t xml:space="preserve">In addition, the State's responsibilities vary by program.  Depending on the program, the State may either retain or pass through to non-State </w:t>
      </w:r>
      <w:proofErr w:type="gramStart"/>
      <w:r w:rsidRPr="0099749D">
        <w:rPr>
          <w:szCs w:val="24"/>
        </w:rPr>
        <w:t>parties</w:t>
      </w:r>
      <w:proofErr w:type="gramEnd"/>
      <w:r w:rsidRPr="0099749D">
        <w:rPr>
          <w:szCs w:val="24"/>
        </w:rPr>
        <w:t xml:space="preserve"> part or all of its:</w:t>
      </w:r>
    </w:p>
    <w:p w14:paraId="53B64D97" w14:textId="77777777" w:rsidR="00A03152" w:rsidRPr="0099749D" w:rsidRDefault="00A03152" w:rsidP="00A03152">
      <w:pPr>
        <w:pStyle w:val="Bullet10"/>
        <w:spacing w:before="40" w:after="40" w:line="240" w:lineRule="exact"/>
        <w:ind w:hanging="360"/>
        <w:rPr>
          <w:szCs w:val="24"/>
        </w:rPr>
      </w:pPr>
      <w:r w:rsidRPr="0099749D">
        <w:rPr>
          <w:szCs w:val="24"/>
        </w:rPr>
        <w:t>o</w:t>
      </w:r>
      <w:r w:rsidRPr="0099749D">
        <w:rPr>
          <w:szCs w:val="24"/>
        </w:rPr>
        <w:tab/>
        <w:t>Accountability and legal responsibilities.</w:t>
      </w:r>
    </w:p>
    <w:p w14:paraId="13CB695C" w14:textId="77777777" w:rsidR="00A03152" w:rsidRPr="0099749D" w:rsidRDefault="00A03152" w:rsidP="00A03152">
      <w:pPr>
        <w:pStyle w:val="Bullet10"/>
        <w:spacing w:before="40" w:line="240" w:lineRule="exact"/>
        <w:ind w:hanging="360"/>
        <w:rPr>
          <w:szCs w:val="24"/>
        </w:rPr>
      </w:pPr>
      <w:r w:rsidRPr="0099749D">
        <w:rPr>
          <w:szCs w:val="24"/>
        </w:rPr>
        <w:t>o</w:t>
      </w:r>
      <w:r w:rsidRPr="0099749D">
        <w:rPr>
          <w:szCs w:val="24"/>
        </w:rPr>
        <w:tab/>
        <w:t>Risk of refund to the grantor in case of disallowances.</w:t>
      </w:r>
    </w:p>
    <w:p w14:paraId="7D95AE2F" w14:textId="77777777" w:rsidR="00A03152" w:rsidRPr="0099749D" w:rsidRDefault="00A03152" w:rsidP="00A03152">
      <w:pPr>
        <w:spacing w:after="80"/>
        <w:rPr>
          <w:szCs w:val="24"/>
        </w:rPr>
      </w:pPr>
      <w:r w:rsidRPr="0099749D">
        <w:rPr>
          <w:szCs w:val="24"/>
        </w:rPr>
        <w:t xml:space="preserve">Section N50.128 of the GASB’s </w:t>
      </w:r>
      <w:r w:rsidRPr="0099749D">
        <w:rPr>
          <w:i/>
          <w:iCs/>
          <w:szCs w:val="24"/>
        </w:rPr>
        <w:t>Codification of Governmental Accounting and Financial Reporting Standards</w:t>
      </w:r>
      <w:r w:rsidRPr="0099749D">
        <w:rPr>
          <w:szCs w:val="24"/>
        </w:rPr>
        <w:t xml:space="preserve"> provides guidance regarding what GAAP fund to use in accounting for such programs.  Specifically, this paragraph states:</w:t>
      </w:r>
    </w:p>
    <w:p w14:paraId="72483104" w14:textId="77777777" w:rsidR="00A03152" w:rsidRPr="0099749D" w:rsidRDefault="00A03152" w:rsidP="00A03152">
      <w:pPr>
        <w:pStyle w:val="Indent1"/>
        <w:spacing w:before="40" w:after="80" w:line="240" w:lineRule="exact"/>
        <w:ind w:right="720"/>
        <w:rPr>
          <w:szCs w:val="24"/>
        </w:rPr>
      </w:pPr>
      <w:proofErr w:type="gramStart"/>
      <w:r w:rsidRPr="0099749D">
        <w:rPr>
          <w:szCs w:val="24"/>
        </w:rPr>
        <w:t>As a general rule</w:t>
      </w:r>
      <w:proofErr w:type="gramEnd"/>
      <w:r w:rsidRPr="0099749D">
        <w:rPr>
          <w:szCs w:val="24"/>
        </w:rPr>
        <w:t>, cash pass-through grants should be recognized as revenue and expenditures or expenses in the funds of the primary government and in the government-wide financial statements.  In those infrequent cases in which a recipient government serves only as a cash conduit, the grant should be reported in an agency fund.  A recipient government serves only as a cash conduit</w:t>
      </w:r>
      <w:r w:rsidR="00440A89">
        <w:rPr>
          <w:rStyle w:val="FootnoteReference"/>
          <w:szCs w:val="24"/>
        </w:rPr>
        <w:footnoteReference w:id="17"/>
      </w:r>
      <w:r w:rsidRPr="0099749D">
        <w:rPr>
          <w:szCs w:val="24"/>
        </w:rPr>
        <w:t xml:space="preserve"> if it merely transmits grantor-supplied moneys without having administrative or direct financial involvement in the program.</w:t>
      </w:r>
    </w:p>
    <w:p w14:paraId="568D4EAD" w14:textId="77777777" w:rsidR="00A03152" w:rsidRPr="0099749D" w:rsidRDefault="00A03152" w:rsidP="00A03152">
      <w:pPr>
        <w:spacing w:before="80" w:after="80" w:line="240" w:lineRule="exact"/>
        <w:rPr>
          <w:szCs w:val="24"/>
        </w:rPr>
      </w:pPr>
      <w:r w:rsidRPr="0099749D">
        <w:rPr>
          <w:szCs w:val="24"/>
        </w:rPr>
        <w:t xml:space="preserve">The State </w:t>
      </w:r>
      <w:r w:rsidRPr="0099749D">
        <w:rPr>
          <w:b/>
          <w:szCs w:val="24"/>
        </w:rPr>
        <w:t>has</w:t>
      </w:r>
      <w:r w:rsidRPr="0099749D">
        <w:rPr>
          <w:szCs w:val="24"/>
        </w:rPr>
        <w:t xml:space="preserve"> administrative or direct financial involvement if it (a) monitors secondary recipients for compliance with program-specific requirements, (b) determines eligible secondary recipients or projects, even if using grantor-established criteria, (c) may exercise discretion in how the funds are </w:t>
      </w:r>
      <w:proofErr w:type="gramStart"/>
      <w:r w:rsidRPr="0099749D">
        <w:rPr>
          <w:szCs w:val="24"/>
        </w:rPr>
        <w:t>allocated,  (</w:t>
      </w:r>
      <w:proofErr w:type="gramEnd"/>
      <w:r w:rsidRPr="0099749D">
        <w:rPr>
          <w:szCs w:val="24"/>
        </w:rPr>
        <w:t xml:space="preserve">d) finances some direct program costs because of a grantor-imposed matching requirement, or (e) is liable for disallowed costs.  </w:t>
      </w:r>
    </w:p>
    <w:p w14:paraId="0610362B" w14:textId="77777777" w:rsidR="00A03152" w:rsidRPr="0099749D" w:rsidRDefault="00A03152" w:rsidP="00A03152">
      <w:pPr>
        <w:spacing w:before="80" w:after="80" w:line="240" w:lineRule="exact"/>
        <w:rPr>
          <w:szCs w:val="24"/>
        </w:rPr>
      </w:pPr>
      <w:r w:rsidRPr="0099749D">
        <w:rPr>
          <w:szCs w:val="24"/>
        </w:rPr>
        <w:lastRenderedPageBreak/>
        <w:t>If your agency serves as a cash conduit in passing through</w:t>
      </w:r>
      <w:r w:rsidR="00440A89">
        <w:rPr>
          <w:rStyle w:val="FootnoteReference"/>
          <w:szCs w:val="24"/>
        </w:rPr>
        <w:footnoteReference w:id="18"/>
      </w:r>
      <w:r w:rsidRPr="0099749D">
        <w:rPr>
          <w:szCs w:val="24"/>
        </w:rPr>
        <w:t xml:space="preserve"> grant funds to a non-State entity, this activity should be accounted for in an Agency Fund.  (This activity is rare for the State of South Carolina).</w:t>
      </w:r>
    </w:p>
    <w:p w14:paraId="36FAB1A4" w14:textId="77777777" w:rsidR="00A03152" w:rsidRPr="0099749D" w:rsidRDefault="00A03152" w:rsidP="00A03152">
      <w:pPr>
        <w:keepNext/>
        <w:spacing w:before="80" w:after="40" w:line="240" w:lineRule="exact"/>
        <w:rPr>
          <w:szCs w:val="24"/>
        </w:rPr>
      </w:pPr>
      <w:r w:rsidRPr="0099749D">
        <w:rPr>
          <w:szCs w:val="24"/>
        </w:rPr>
        <w:t>Accordingly, the Comptroller General's Office has established the following policies.</w:t>
      </w:r>
    </w:p>
    <w:p w14:paraId="4A7DA5E3" w14:textId="77777777" w:rsidR="00A03152" w:rsidRPr="0099749D" w:rsidRDefault="00A03152" w:rsidP="00A03152">
      <w:pPr>
        <w:pStyle w:val="Bullet10"/>
        <w:keepNext/>
        <w:spacing w:before="40" w:after="40"/>
        <w:ind w:hanging="360"/>
        <w:rPr>
          <w:szCs w:val="24"/>
        </w:rPr>
      </w:pPr>
      <w:r w:rsidRPr="0099749D">
        <w:rPr>
          <w:szCs w:val="24"/>
        </w:rPr>
        <w:t>o</w:t>
      </w:r>
      <w:r w:rsidRPr="0099749D">
        <w:rPr>
          <w:szCs w:val="24"/>
        </w:rPr>
        <w:tab/>
        <w:t>Use an Agency Fund to account for grant funds passed through to non-State parties if it merely serves as a cash conduit</w:t>
      </w:r>
      <w:r w:rsidR="00440A89">
        <w:rPr>
          <w:rStyle w:val="FootnoteReference"/>
          <w:szCs w:val="24"/>
        </w:rPr>
        <w:footnoteReference w:id="19"/>
      </w:r>
      <w:r w:rsidR="00440A89">
        <w:rPr>
          <w:szCs w:val="24"/>
        </w:rPr>
        <w:t>,</w:t>
      </w:r>
      <w:r w:rsidRPr="0099749D">
        <w:rPr>
          <w:szCs w:val="24"/>
        </w:rPr>
        <w:t xml:space="preserve"> but keep in mind that this situation occurs infrequently.</w:t>
      </w:r>
    </w:p>
    <w:p w14:paraId="5151CFFA" w14:textId="77777777" w:rsidR="00A03152" w:rsidRPr="0099749D" w:rsidRDefault="00A03152" w:rsidP="00A03152">
      <w:pPr>
        <w:pStyle w:val="Bullet10"/>
        <w:keepLines/>
        <w:spacing w:before="40"/>
        <w:ind w:hanging="360"/>
        <w:rPr>
          <w:szCs w:val="24"/>
        </w:rPr>
      </w:pPr>
      <w:r w:rsidRPr="0099749D">
        <w:rPr>
          <w:szCs w:val="24"/>
        </w:rPr>
        <w:t>o</w:t>
      </w:r>
      <w:r w:rsidRPr="0099749D">
        <w:rPr>
          <w:szCs w:val="24"/>
        </w:rPr>
        <w:tab/>
        <w:t xml:space="preserve">Otherwise, use a governmental fund or proprietary fund to account for grant funds passed through to non-State parties.  </w:t>
      </w:r>
    </w:p>
    <w:p w14:paraId="4AA493D8" w14:textId="77777777" w:rsidR="00A03152" w:rsidRPr="0058150D" w:rsidRDefault="00A03152" w:rsidP="00DD4167">
      <w:pPr>
        <w:pStyle w:val="Heading4"/>
      </w:pPr>
      <w:r w:rsidRPr="0058150D">
        <w:t>Reportable Grant Receivables</w:t>
      </w:r>
    </w:p>
    <w:p w14:paraId="26C8A022" w14:textId="77777777" w:rsidR="00A03152" w:rsidRPr="0099749D" w:rsidRDefault="00A03152" w:rsidP="00A03152">
      <w:pPr>
        <w:spacing w:line="240" w:lineRule="exact"/>
        <w:rPr>
          <w:szCs w:val="24"/>
        </w:rPr>
      </w:pPr>
      <w:r w:rsidRPr="0099749D">
        <w:rPr>
          <w:szCs w:val="24"/>
        </w:rPr>
        <w:t xml:space="preserve">Only </w:t>
      </w:r>
      <w:r w:rsidRPr="0099749D">
        <w:rPr>
          <w:i/>
          <w:iCs/>
          <w:szCs w:val="24"/>
        </w:rPr>
        <w:t>end recipients</w:t>
      </w:r>
      <w:r w:rsidRPr="0099749D">
        <w:rPr>
          <w:szCs w:val="24"/>
        </w:rPr>
        <w:t xml:space="preserve"> of grant funds within State government should report receivable amounts on the Grants and Contribution Receivables and Deferred Revenue Summary Form (Form 3.</w:t>
      </w:r>
      <w:r w:rsidR="00287481">
        <w:rPr>
          <w:szCs w:val="24"/>
        </w:rPr>
        <w:t>0</w:t>
      </w:r>
      <w:r w:rsidRPr="0099749D">
        <w:rPr>
          <w:szCs w:val="24"/>
        </w:rPr>
        <w:t>3.1).</w:t>
      </w:r>
    </w:p>
    <w:p w14:paraId="79B409F2" w14:textId="77777777" w:rsidR="00A03152" w:rsidRPr="0099749D" w:rsidRDefault="00A03152" w:rsidP="00A03152">
      <w:pPr>
        <w:keepNext/>
        <w:spacing w:before="80" w:after="40" w:line="240" w:lineRule="exact"/>
        <w:rPr>
          <w:szCs w:val="24"/>
        </w:rPr>
      </w:pPr>
      <w:r w:rsidRPr="0099749D">
        <w:rPr>
          <w:szCs w:val="24"/>
        </w:rPr>
        <w:t xml:space="preserve">Accordingly: </w:t>
      </w:r>
    </w:p>
    <w:p w14:paraId="0AEE81B4" w14:textId="77777777" w:rsidR="00A03152" w:rsidRPr="0099749D" w:rsidRDefault="00A03152" w:rsidP="00A03152">
      <w:pPr>
        <w:pStyle w:val="Bullet10"/>
        <w:keepNext/>
        <w:spacing w:before="40" w:after="40" w:line="240" w:lineRule="exact"/>
        <w:ind w:hanging="360"/>
        <w:rPr>
          <w:szCs w:val="24"/>
        </w:rPr>
      </w:pPr>
      <w:r w:rsidRPr="0099749D">
        <w:rPr>
          <w:szCs w:val="24"/>
        </w:rPr>
        <w:t>o</w:t>
      </w:r>
      <w:r w:rsidRPr="0099749D">
        <w:rPr>
          <w:szCs w:val="24"/>
        </w:rPr>
        <w:tab/>
        <w:t>Report Grants and Contribution Receivables only for funds that:</w:t>
      </w:r>
    </w:p>
    <w:p w14:paraId="7AF2825F" w14:textId="77777777" w:rsidR="00A03152" w:rsidRPr="0099749D" w:rsidRDefault="00A03152" w:rsidP="00A03152">
      <w:pPr>
        <w:pStyle w:val="Bullet2"/>
        <w:spacing w:before="40" w:after="40" w:line="240" w:lineRule="exact"/>
        <w:rPr>
          <w:szCs w:val="24"/>
        </w:rPr>
      </w:pPr>
      <w:r w:rsidRPr="0099749D">
        <w:rPr>
          <w:szCs w:val="24"/>
        </w:rPr>
        <w:t xml:space="preserve"> </w:t>
      </w:r>
      <w:r w:rsidRPr="0099749D">
        <w:rPr>
          <w:szCs w:val="24"/>
        </w:rPr>
        <w:noBreakHyphen/>
      </w:r>
      <w:r w:rsidRPr="0099749D">
        <w:rPr>
          <w:szCs w:val="24"/>
        </w:rPr>
        <w:noBreakHyphen/>
      </w:r>
      <w:r w:rsidRPr="0099749D">
        <w:rPr>
          <w:szCs w:val="24"/>
        </w:rPr>
        <w:tab/>
        <w:t>Are used directly for supplies, to pay for contracted services, etc., or to pay the State General Fund for indirect cost.</w:t>
      </w:r>
    </w:p>
    <w:p w14:paraId="44806841" w14:textId="77777777" w:rsidR="00A03152" w:rsidRPr="0099749D" w:rsidRDefault="00A03152" w:rsidP="00A03152">
      <w:pPr>
        <w:pStyle w:val="Bullet2"/>
        <w:spacing w:before="40" w:after="40" w:line="240" w:lineRule="exact"/>
        <w:rPr>
          <w:szCs w:val="24"/>
        </w:rPr>
      </w:pPr>
      <w:r w:rsidRPr="0099749D">
        <w:rPr>
          <w:szCs w:val="24"/>
        </w:rPr>
        <w:t xml:space="preserve"> </w:t>
      </w:r>
      <w:r w:rsidRPr="0099749D">
        <w:rPr>
          <w:szCs w:val="24"/>
        </w:rPr>
        <w:noBreakHyphen/>
      </w:r>
      <w:r w:rsidRPr="0099749D">
        <w:rPr>
          <w:szCs w:val="24"/>
        </w:rPr>
        <w:noBreakHyphen/>
      </w:r>
      <w:r w:rsidRPr="0099749D">
        <w:rPr>
          <w:szCs w:val="24"/>
        </w:rPr>
        <w:tab/>
        <w:t>Are Passed through to parties outside State government.</w:t>
      </w:r>
    </w:p>
    <w:p w14:paraId="0D2C5544" w14:textId="77777777" w:rsidR="00A03152" w:rsidRPr="0099749D" w:rsidRDefault="00A03152" w:rsidP="00A03152">
      <w:pPr>
        <w:pStyle w:val="Bullet10"/>
        <w:spacing w:before="40" w:line="240" w:lineRule="exact"/>
        <w:ind w:hanging="360"/>
        <w:rPr>
          <w:szCs w:val="24"/>
        </w:rPr>
      </w:pPr>
      <w:r w:rsidRPr="0099749D">
        <w:rPr>
          <w:szCs w:val="24"/>
        </w:rPr>
        <w:t>o</w:t>
      </w:r>
      <w:r w:rsidRPr="0099749D">
        <w:rPr>
          <w:szCs w:val="24"/>
        </w:rPr>
        <w:tab/>
        <w:t xml:space="preserve">Do </w:t>
      </w:r>
      <w:r w:rsidRPr="0099749D">
        <w:rPr>
          <w:b/>
          <w:szCs w:val="24"/>
        </w:rPr>
        <w:t>not</w:t>
      </w:r>
      <w:r w:rsidRPr="0099749D">
        <w:rPr>
          <w:szCs w:val="24"/>
        </w:rPr>
        <w:t xml:space="preserve"> report Grants and Contribution Receivables for resources that have been passed through</w:t>
      </w:r>
      <w:r w:rsidR="00440A89">
        <w:rPr>
          <w:rStyle w:val="FootnoteReference"/>
          <w:szCs w:val="24"/>
        </w:rPr>
        <w:footnoteReference w:id="20"/>
      </w:r>
      <w:r w:rsidRPr="0099749D">
        <w:rPr>
          <w:szCs w:val="24"/>
        </w:rPr>
        <w:t xml:space="preserve"> to other State accounting funds or agencies</w:t>
      </w:r>
      <w:r w:rsidR="00287481">
        <w:rPr>
          <w:szCs w:val="24"/>
        </w:rPr>
        <w:t xml:space="preserve"> UNLESS the fund balance in that grant is 10% or more of the grant award or exceeds $500,000</w:t>
      </w:r>
      <w:r w:rsidRPr="0099749D">
        <w:rPr>
          <w:szCs w:val="24"/>
        </w:rPr>
        <w:t xml:space="preserve">. </w:t>
      </w:r>
    </w:p>
    <w:p w14:paraId="78CFC866" w14:textId="77777777" w:rsidR="00A03152" w:rsidRPr="00954503" w:rsidRDefault="00A03152" w:rsidP="00DD4167">
      <w:pPr>
        <w:pStyle w:val="Heading4"/>
      </w:pPr>
      <w:r w:rsidRPr="00954503">
        <w:t>Medicaid Receivables or Payables</w:t>
      </w:r>
    </w:p>
    <w:p w14:paraId="5647E1D2" w14:textId="77777777" w:rsidR="00A03152" w:rsidRPr="00954503" w:rsidRDefault="00A03152" w:rsidP="00A03152">
      <w:pPr>
        <w:keepLines/>
        <w:spacing w:before="40" w:after="80" w:line="240" w:lineRule="exact"/>
        <w:rPr>
          <w:szCs w:val="24"/>
          <w:u w:val="single"/>
        </w:rPr>
      </w:pPr>
      <w:r w:rsidRPr="00954503">
        <w:rPr>
          <w:szCs w:val="24"/>
        </w:rPr>
        <w:t xml:space="preserve">Report Medicaid receivables in this reporting package only if they represent revenue receivable directly from </w:t>
      </w:r>
      <w:r w:rsidRPr="00954503">
        <w:rPr>
          <w:b/>
          <w:szCs w:val="24"/>
        </w:rPr>
        <w:t>the Federal government</w:t>
      </w:r>
      <w:r w:rsidRPr="00954503">
        <w:rPr>
          <w:szCs w:val="24"/>
        </w:rPr>
        <w:t xml:space="preserve">.  If Medicaid reimbursements are expected to be received from the South Carolina Department of Health and Human Services, any Medicaid reimbursement receivables </w:t>
      </w:r>
      <w:proofErr w:type="gramStart"/>
      <w:r w:rsidRPr="00954503">
        <w:rPr>
          <w:szCs w:val="24"/>
        </w:rPr>
        <w:t>at</w:t>
      </w:r>
      <w:proofErr w:type="gramEnd"/>
      <w:r w:rsidRPr="00954503">
        <w:rPr>
          <w:szCs w:val="24"/>
        </w:rPr>
        <w:t xml:space="preserve"> June 30 are not Grants and Contribution Receivables.  Medicaid reimbursements are payments for contracted services, not Grant Revenue to your agency.</w:t>
      </w:r>
    </w:p>
    <w:p w14:paraId="1EAF1D5E" w14:textId="77777777" w:rsidR="00A03152" w:rsidRPr="00954503" w:rsidRDefault="00A03152" w:rsidP="00A03152">
      <w:pPr>
        <w:pStyle w:val="BodyTextIndent"/>
        <w:keepNext/>
        <w:spacing w:before="160" w:after="20"/>
        <w:ind w:left="0" w:firstLine="0"/>
        <w:rPr>
          <w:b w:val="0"/>
          <w:szCs w:val="24"/>
          <w:u w:val="none"/>
        </w:rPr>
      </w:pPr>
      <w:r w:rsidRPr="00954503">
        <w:rPr>
          <w:b w:val="0"/>
          <w:szCs w:val="24"/>
          <w:u w:val="none"/>
        </w:rPr>
        <w:t>Settlements resulting in Medicaid Receivables or Payables should be reported as follows:</w:t>
      </w:r>
    </w:p>
    <w:p w14:paraId="3F065E17" w14:textId="73F0F760" w:rsidR="00A03152" w:rsidRPr="00954503" w:rsidRDefault="00A03152" w:rsidP="00A03152">
      <w:pPr>
        <w:pStyle w:val="Bullet10"/>
        <w:spacing w:before="20" w:after="20" w:line="240" w:lineRule="exact"/>
        <w:ind w:hanging="360"/>
        <w:rPr>
          <w:szCs w:val="24"/>
        </w:rPr>
      </w:pPr>
      <w:r w:rsidRPr="00954503">
        <w:rPr>
          <w:szCs w:val="24"/>
        </w:rPr>
        <w:t>o</w:t>
      </w:r>
      <w:r w:rsidRPr="00954503">
        <w:rPr>
          <w:szCs w:val="24"/>
        </w:rPr>
        <w:tab/>
        <w:t xml:space="preserve">Report Medicaid amounts receivable from non-State service providers in the </w:t>
      </w:r>
      <w:r w:rsidR="008F6A91">
        <w:rPr>
          <w:szCs w:val="24"/>
        </w:rPr>
        <w:t xml:space="preserve">Other </w:t>
      </w:r>
      <w:r w:rsidRPr="00954503">
        <w:rPr>
          <w:szCs w:val="24"/>
        </w:rPr>
        <w:t>Receivables Year-End Reporting Package</w:t>
      </w:r>
      <w:r w:rsidR="008D0883">
        <w:rPr>
          <w:szCs w:val="24"/>
        </w:rPr>
        <w:t xml:space="preserve"> (</w:t>
      </w:r>
      <w:r w:rsidR="00460788" w:rsidRPr="00954503">
        <w:rPr>
          <w:szCs w:val="24"/>
        </w:rPr>
        <w:t>See Section 3.</w:t>
      </w:r>
      <w:r w:rsidR="002D5E19" w:rsidRPr="00954503">
        <w:rPr>
          <w:szCs w:val="24"/>
        </w:rPr>
        <w:t>0</w:t>
      </w:r>
      <w:r w:rsidR="00954503" w:rsidRPr="00954503">
        <w:rPr>
          <w:szCs w:val="24"/>
        </w:rPr>
        <w:t>4</w:t>
      </w:r>
      <w:r w:rsidR="008D0883">
        <w:rPr>
          <w:szCs w:val="24"/>
        </w:rPr>
        <w:t>).</w:t>
      </w:r>
    </w:p>
    <w:p w14:paraId="72546202" w14:textId="6F906F17" w:rsidR="00A03152" w:rsidRPr="00954503" w:rsidRDefault="00A03152" w:rsidP="00A03152">
      <w:pPr>
        <w:pStyle w:val="Bullet10"/>
        <w:spacing w:before="20" w:line="240" w:lineRule="exact"/>
        <w:ind w:hanging="360"/>
        <w:rPr>
          <w:szCs w:val="24"/>
        </w:rPr>
      </w:pPr>
      <w:r w:rsidRPr="00954503">
        <w:rPr>
          <w:szCs w:val="24"/>
        </w:rPr>
        <w:t>o</w:t>
      </w:r>
      <w:r w:rsidRPr="00954503">
        <w:rPr>
          <w:szCs w:val="24"/>
        </w:rPr>
        <w:tab/>
        <w:t>Report Medicaid amounts payable to non-State service providers in the Accounts Payable Year-End Reporting Package</w:t>
      </w:r>
      <w:r w:rsidR="008D0883">
        <w:rPr>
          <w:szCs w:val="24"/>
        </w:rPr>
        <w:t xml:space="preserve"> (</w:t>
      </w:r>
      <w:r w:rsidRPr="00954503">
        <w:rPr>
          <w:szCs w:val="24"/>
        </w:rPr>
        <w:t>See Section 3.12</w:t>
      </w:r>
      <w:r w:rsidR="008D0883">
        <w:rPr>
          <w:szCs w:val="24"/>
        </w:rPr>
        <w:t>).</w:t>
      </w:r>
    </w:p>
    <w:p w14:paraId="2A40D5C6" w14:textId="77777777" w:rsidR="00A03152" w:rsidRPr="0099749D" w:rsidRDefault="00A03152" w:rsidP="00DD4167">
      <w:pPr>
        <w:pStyle w:val="Heading4"/>
      </w:pPr>
      <w:r w:rsidRPr="0099749D">
        <w:t>Pledges</w:t>
      </w:r>
    </w:p>
    <w:p w14:paraId="1455C7E7" w14:textId="6CDD6B35" w:rsidR="00A03152" w:rsidRPr="0099749D" w:rsidRDefault="00A03152" w:rsidP="00A03152">
      <w:pPr>
        <w:spacing w:before="20" w:after="80" w:line="240" w:lineRule="exact"/>
        <w:rPr>
          <w:szCs w:val="24"/>
        </w:rPr>
      </w:pPr>
      <w:r w:rsidRPr="0099749D">
        <w:rPr>
          <w:szCs w:val="24"/>
        </w:rPr>
        <w:t xml:space="preserve">Pledges must be included in receivables </w:t>
      </w:r>
      <w:proofErr w:type="gramStart"/>
      <w:r w:rsidRPr="0099749D">
        <w:rPr>
          <w:szCs w:val="24"/>
        </w:rPr>
        <w:t>at</w:t>
      </w:r>
      <w:proofErr w:type="gramEnd"/>
      <w:r w:rsidRPr="0099749D">
        <w:rPr>
          <w:szCs w:val="24"/>
        </w:rPr>
        <w:t xml:space="preserve"> June 30 if the promise is verifiable and the resources are measurable and probable of collection at that date.  Probable of collection includes evaluation of compliance with all applicable eligibility requirements.  If you have any outstanding pledges that were </w:t>
      </w:r>
      <w:r w:rsidRPr="0099749D">
        <w:rPr>
          <w:b/>
          <w:bCs/>
          <w:szCs w:val="24"/>
        </w:rPr>
        <w:t>not</w:t>
      </w:r>
      <w:r w:rsidRPr="0099749D">
        <w:rPr>
          <w:szCs w:val="24"/>
        </w:rPr>
        <w:t xml:space="preserve"> recorded as revenue because they were not measurable </w:t>
      </w:r>
      <w:proofErr w:type="gramStart"/>
      <w:r w:rsidRPr="0099749D">
        <w:rPr>
          <w:szCs w:val="24"/>
        </w:rPr>
        <w:t>at</w:t>
      </w:r>
      <w:proofErr w:type="gramEnd"/>
      <w:r w:rsidRPr="0099749D">
        <w:rPr>
          <w:szCs w:val="24"/>
        </w:rPr>
        <w:t xml:space="preserve"> June 30, Section N50.108 of </w:t>
      </w:r>
      <w:r w:rsidRPr="0099749D">
        <w:rPr>
          <w:i/>
          <w:iCs/>
          <w:szCs w:val="24"/>
        </w:rPr>
        <w:t>Governmental Accounting and Financial Reporting Standards</w:t>
      </w:r>
      <w:r w:rsidRPr="0099749D">
        <w:rPr>
          <w:szCs w:val="24"/>
        </w:rPr>
        <w:t xml:space="preserve"> requires disclosure of such situations.  Accordingly, you are asked to attach a description of any such situations to your Grants and Contribution Receivables and Deferred Revenue Summary Form</w:t>
      </w:r>
      <w:r w:rsidR="008D0883">
        <w:rPr>
          <w:szCs w:val="24"/>
        </w:rPr>
        <w:t>.</w:t>
      </w:r>
    </w:p>
    <w:p w14:paraId="39E29A85" w14:textId="77777777" w:rsidR="00A03152" w:rsidRPr="0058150D" w:rsidRDefault="00A03152" w:rsidP="00DD4167">
      <w:pPr>
        <w:pStyle w:val="Heading3"/>
      </w:pPr>
      <w:bookmarkStart w:id="209" w:name="_Toc296247818"/>
      <w:bookmarkStart w:id="210" w:name="_Toc166149252"/>
      <w:r w:rsidRPr="0058150D">
        <w:lastRenderedPageBreak/>
        <w:t xml:space="preserve">Relationship </w:t>
      </w:r>
      <w:r w:rsidR="00460788" w:rsidRPr="0058150D">
        <w:t>between</w:t>
      </w:r>
      <w:r w:rsidRPr="0058150D">
        <w:t xml:space="preserve"> Reporting Package and Schedule of Expenditures of Federal Awards</w:t>
      </w:r>
      <w:bookmarkEnd w:id="209"/>
      <w:r w:rsidR="00803AC6">
        <w:rPr>
          <w:rStyle w:val="FootnoteReference"/>
        </w:rPr>
        <w:footnoteReference w:id="21"/>
      </w:r>
      <w:bookmarkEnd w:id="210"/>
    </w:p>
    <w:p w14:paraId="454EC399" w14:textId="5A608FAF" w:rsidR="00A03152" w:rsidRPr="0099749D" w:rsidRDefault="00A03152" w:rsidP="00A03152">
      <w:pPr>
        <w:spacing w:before="40" w:line="240" w:lineRule="exact"/>
        <w:rPr>
          <w:szCs w:val="24"/>
        </w:rPr>
      </w:pPr>
      <w:r w:rsidRPr="0099749D">
        <w:rPr>
          <w:szCs w:val="24"/>
        </w:rPr>
        <w:t xml:space="preserve">The final reporting package amounts should reconcile to your Schedule of Expenditures of Federal Awards plus or minus accounts payable and </w:t>
      </w:r>
      <w:r w:rsidR="001D3906">
        <w:rPr>
          <w:szCs w:val="24"/>
        </w:rPr>
        <w:t>other accruals</w:t>
      </w:r>
      <w:r w:rsidRPr="0099749D">
        <w:rPr>
          <w:szCs w:val="24"/>
        </w:rPr>
        <w:t xml:space="preserve"> and </w:t>
      </w:r>
      <w:r w:rsidR="001D3906">
        <w:rPr>
          <w:szCs w:val="24"/>
        </w:rPr>
        <w:t xml:space="preserve">including </w:t>
      </w:r>
      <w:r w:rsidR="001D3906">
        <w:rPr>
          <w:szCs w:val="24"/>
        </w:rPr>
        <w:br/>
      </w:r>
      <w:r w:rsidRPr="0099749D">
        <w:rPr>
          <w:szCs w:val="24"/>
        </w:rPr>
        <w:t xml:space="preserve">non-Federal grants and contributions.  </w:t>
      </w:r>
      <w:r w:rsidR="001D3906">
        <w:rPr>
          <w:szCs w:val="24"/>
        </w:rPr>
        <w:t xml:space="preserve">The BW Report by the same name (Technical Name </w:t>
      </w:r>
      <w:r w:rsidR="001D3906" w:rsidRPr="0018245D">
        <w:t>ZFI_ZGM_</w:t>
      </w:r>
      <w:r w:rsidR="003B7F57">
        <w:t>MC04</w:t>
      </w:r>
      <w:r w:rsidR="001D3906" w:rsidRPr="0018245D">
        <w:t>_Q020</w:t>
      </w:r>
      <w:r w:rsidR="008D0883">
        <w:t xml:space="preserve">) </w:t>
      </w:r>
      <w:r w:rsidR="001D3906">
        <w:t xml:space="preserve">will be used as the report provided by the Comptroller General's Office as a tool for agencies to calculate the balances to report in this package. </w:t>
      </w:r>
    </w:p>
    <w:p w14:paraId="79B291E8" w14:textId="77777777" w:rsidR="00A03152" w:rsidRPr="0058150D" w:rsidRDefault="00A03152" w:rsidP="00DD4167">
      <w:pPr>
        <w:pStyle w:val="Heading4"/>
      </w:pPr>
      <w:r w:rsidRPr="0058150D">
        <w:t>Payments to Grant Recipients/Subrecipients</w:t>
      </w:r>
    </w:p>
    <w:p w14:paraId="52945C81" w14:textId="77777777" w:rsidR="00A03152" w:rsidRPr="0099749D" w:rsidRDefault="00A03152" w:rsidP="00DD4167">
      <w:pPr>
        <w:keepLines/>
        <w:spacing w:before="40"/>
      </w:pPr>
      <w:r w:rsidRPr="0099749D">
        <w:t>In addition to Revenues, Receivables, and Deferred Revenues, GAAP also establish recognition criteria for Expenditures, Expenses, and Accounts Payable related to amounts due to grant recipients and subrecipients.  Evaluate amounts due to grant recipients and subrecipients against the recognition guidelines noted in the Accounts Payable Year-End Reporting Package in Section 3.12 of this manual (if payable to a non-State entity) and report amounts on that package as appropriate.</w:t>
      </w:r>
    </w:p>
    <w:p w14:paraId="3EAD41B8" w14:textId="457518B2" w:rsidR="00491465" w:rsidRDefault="00491465" w:rsidP="00491465">
      <w:r>
        <w:t xml:space="preserve">GAAP requires the recognition and reporting of receivables and deferred revenue for all grant activity of the State of South Carolina.  Agencies obtain grants from Federal programs (identified with a CFDA), Private Foundations, Other Not-for-Profit Organizations, and Corporations.  Many of these grants contain compliance requirements (summarily referred to as eligibility requirements but could be allowable activities or costs) which must be met in order to obtain the funding (a </w:t>
      </w:r>
      <w:proofErr w:type="gramStart"/>
      <w:r>
        <w:t>reimbursement based</w:t>
      </w:r>
      <w:proofErr w:type="gramEnd"/>
      <w:r>
        <w:t xml:space="preserve"> grant).  These compliance requirements establish the earnings process for the recognition of the revenue and receivable or deferred revenue for these transactions.  GAAP requires the recognition of a receivable and related revenue if the compliance requirements have been met but reimbursement from the grantor has not been received.  </w:t>
      </w:r>
      <w:r w:rsidR="00615293">
        <w:t>Likewise,</w:t>
      </w:r>
      <w:r>
        <w:t xml:space="preserve"> GAAP requires the recognition of a deferred revenue liability if the grantor has provided resources prior to the agency’s compliance with the grant award agreement’s terms and conditions.</w:t>
      </w:r>
    </w:p>
    <w:p w14:paraId="160E99D2" w14:textId="384142A0" w:rsidR="00491465" w:rsidRDefault="00491465" w:rsidP="00491465">
      <w:r>
        <w:t>We have recommended that the Grants Reporting Package be reconciled to the information submitted to the State Auditor’s Office to provide one measure of control for accuracy and completeness in reporting.  Other controls should be established based on the transactional processing procedures, reporting requirements, and other internal controls established by the Agency for compliance with terms and conditions of legal agreements.</w:t>
      </w:r>
    </w:p>
    <w:p w14:paraId="492FBE5E" w14:textId="5E456247" w:rsidR="00491465" w:rsidRDefault="00491465" w:rsidP="00491465">
      <w:r>
        <w:t xml:space="preserve">The Grants Reporting Package information should report all activity from grant agreements with parties external to the agency.  In some </w:t>
      </w:r>
      <w:r w:rsidR="00615293">
        <w:t>instances,</w:t>
      </w:r>
      <w:r>
        <w:t xml:space="preserve"> this will be the same as the Federal Programs.  In other </w:t>
      </w:r>
      <w:r w:rsidR="00615293">
        <w:t>instances,</w:t>
      </w:r>
      <w:r>
        <w:t xml:space="preserve"> it will include other programs.  Determination of the existence of programs other than the Federal Programs may utilize the Grants Management Module of SCEIS </w:t>
      </w:r>
      <w:proofErr w:type="gramStart"/>
      <w:r>
        <w:t>taking into account</w:t>
      </w:r>
      <w:proofErr w:type="gramEnd"/>
      <w:r>
        <w:t xml:space="preserve"> funds other than the Federal accounting funds (5#######).  Because the use of the Grants Management Module for other than Federal Programs was elective, alternative methods may be required to identify </w:t>
      </w:r>
      <w:proofErr w:type="gramStart"/>
      <w:r>
        <w:t>all of</w:t>
      </w:r>
      <w:proofErr w:type="gramEnd"/>
      <w:r>
        <w:t xml:space="preserve"> the grants (grant awards or grant agreements) required for reporting.  If your agency elected not to implement the Grants Management Module for grants other than Federal Programs, one alternative method is to examine the activity recorded in the general ledger accounts for Other Grants Revenue.  Because of inconsistencies in using the Grants Management Module and accounting funds by the State agencies a single approach to identify and/or eliminate information for reporting is not available statewide.  The Comptroller General's Office has attempted to provide sufficient information to capture activity that is reported in the Grants Management </w:t>
      </w:r>
      <w:r>
        <w:lastRenderedPageBreak/>
        <w:t>Module of SCEIS.  Because certain administrative, indirect cost, and pass-through activity is reflected in the Grants Management Module in accounting funds outside of the Federal Funds range, this information was captured in the report generated to assist in the preparation of the Grants Reporting Package.  Agency personnel who work with the grant award agreements and underlying programs will have the greatest knowledge of the transactions reflected and the characteristics to identify the reportable amounts.  Reportable amounts should be the revenue and related expenditures used for programmatic purposes under the grant program.</w:t>
      </w:r>
    </w:p>
    <w:p w14:paraId="47A6F503" w14:textId="77777777" w:rsidR="00491465" w:rsidRDefault="00491465" w:rsidP="00491465"/>
    <w:p w14:paraId="6B125E43" w14:textId="77777777" w:rsidR="00491465" w:rsidRDefault="00491465" w:rsidP="00491465">
      <w:r>
        <w:t>Activities that should be excluded from the Grants Reporting Package include:</w:t>
      </w:r>
    </w:p>
    <w:p w14:paraId="3AB718F1" w14:textId="04939D26" w:rsidR="00491465" w:rsidRDefault="00491465" w:rsidP="005C2F33">
      <w:pPr>
        <w:pStyle w:val="ListParagraph"/>
        <w:numPr>
          <w:ilvl w:val="0"/>
          <w:numId w:val="46"/>
        </w:numPr>
        <w:spacing w:before="0" w:after="0"/>
      </w:pPr>
      <w:r>
        <w:t xml:space="preserve">Any activity (receipt or payment) related to a pass-through to an entity included in the State’s Reporting Entity.  Please note this is </w:t>
      </w:r>
      <w:proofErr w:type="gramStart"/>
      <w:r>
        <w:t>passed-through</w:t>
      </w:r>
      <w:proofErr w:type="gramEnd"/>
      <w:r>
        <w:t xml:space="preserve"> to not from.  The recipient of the passed-through grant who expends the resources for the purchase of goods or services for the delivery of the program activities should report the activity.  </w:t>
      </w:r>
    </w:p>
    <w:p w14:paraId="1D449EE8" w14:textId="77777777" w:rsidR="00491465" w:rsidRDefault="00491465" w:rsidP="005C2F33">
      <w:pPr>
        <w:pStyle w:val="ListParagraph"/>
        <w:numPr>
          <w:ilvl w:val="0"/>
          <w:numId w:val="46"/>
        </w:numPr>
        <w:spacing w:before="0" w:after="0"/>
      </w:pPr>
      <w:r>
        <w:t>Indirect Cost activity – any activity related to the charging or receipt of indirect cost recoveries should be excluded from the Grants Reporting Package.</w:t>
      </w:r>
    </w:p>
    <w:p w14:paraId="6C90FD73" w14:textId="77777777" w:rsidR="00491465" w:rsidRDefault="00491465" w:rsidP="005C2F33">
      <w:pPr>
        <w:pStyle w:val="ListParagraph"/>
        <w:numPr>
          <w:ilvl w:val="0"/>
          <w:numId w:val="46"/>
        </w:numPr>
        <w:spacing w:before="0" w:after="0"/>
      </w:pPr>
      <w:r>
        <w:t xml:space="preserve">Matching Activities – any activity identified as qualification for a matching or level of effort compliance requirement for the grant should not be reported on the Grants Reporting Package.  </w:t>
      </w:r>
    </w:p>
    <w:p w14:paraId="11581672" w14:textId="77777777" w:rsidR="00491465" w:rsidRDefault="00491465" w:rsidP="00491465">
      <w:r>
        <w:t>These items are not included as qualifying payments when reporting to the grantor and should not be reported as qualifying payments for GAAP purposes.</w:t>
      </w:r>
    </w:p>
    <w:p w14:paraId="7B61DC04" w14:textId="77777777" w:rsidR="00491465" w:rsidRDefault="00491465" w:rsidP="00491465"/>
    <w:p w14:paraId="74428607" w14:textId="77777777" w:rsidR="00491465" w:rsidRDefault="00491465" w:rsidP="00491465">
      <w:r>
        <w:t>Clarification on completion of specific fields within the form:</w:t>
      </w:r>
    </w:p>
    <w:p w14:paraId="371CAF0F" w14:textId="77777777" w:rsidR="00A03152" w:rsidRDefault="00491465" w:rsidP="00491465">
      <w:r>
        <w:t xml:space="preserve">If the SCEIS Grants Management Module is not utilized, please provide a grant number used by your agency to identify the grant separately from other grants from the same grantor in the SCEIS Grant No field.  If a Grant is not a Federal Program, please indicate the type of organization from which the grant was awarded in the CFDA field.  Examples of this communication </w:t>
      </w:r>
      <w:proofErr w:type="gramStart"/>
      <w:r>
        <w:t>include;</w:t>
      </w:r>
      <w:proofErr w:type="gramEnd"/>
      <w:r>
        <w:t xml:space="preserve"> a Charitable Foundation (Charity), Not-for-Profit (NPO), or Corporation (Corp).</w:t>
      </w:r>
    </w:p>
    <w:p w14:paraId="6274974E" w14:textId="77777777" w:rsidR="00681116" w:rsidRPr="0099749D" w:rsidRDefault="00681116" w:rsidP="00491465">
      <w:pPr>
        <w:rPr>
          <w:szCs w:val="24"/>
        </w:rPr>
      </w:pPr>
    </w:p>
    <w:p w14:paraId="2DDD88C4" w14:textId="77777777" w:rsidR="0012040B" w:rsidRDefault="0058150D" w:rsidP="003B02BA">
      <w:pPr>
        <w:pStyle w:val="Heading2"/>
      </w:pPr>
      <w:bookmarkStart w:id="211" w:name="_Toc296021451"/>
      <w:bookmarkStart w:id="212" w:name="_Toc296021540"/>
      <w:bookmarkStart w:id="213" w:name="_Toc296235432"/>
      <w:bookmarkStart w:id="214" w:name="_Toc296235533"/>
      <w:bookmarkStart w:id="215" w:name="_Toc296247819"/>
      <w:bookmarkStart w:id="216" w:name="_Toc166149253"/>
      <w:r w:rsidRPr="0099749D">
        <w:t xml:space="preserve">Section _.4 </w:t>
      </w:r>
      <w:r w:rsidR="00DB0A7A">
        <w:t xml:space="preserve">Other </w:t>
      </w:r>
      <w:r w:rsidR="00705BA1">
        <w:t>Receivables</w:t>
      </w:r>
      <w:bookmarkEnd w:id="211"/>
      <w:bookmarkEnd w:id="212"/>
      <w:bookmarkEnd w:id="213"/>
      <w:bookmarkEnd w:id="214"/>
      <w:bookmarkEnd w:id="215"/>
      <w:bookmarkEnd w:id="216"/>
    </w:p>
    <w:p w14:paraId="26D4A397" w14:textId="77777777" w:rsidR="00A03152" w:rsidRPr="0099749D" w:rsidRDefault="00BE0363" w:rsidP="00A03152">
      <w:pPr>
        <w:spacing w:before="40" w:after="20"/>
        <w:rPr>
          <w:szCs w:val="24"/>
        </w:rPr>
      </w:pPr>
      <w:r>
        <w:rPr>
          <w:szCs w:val="24"/>
        </w:rPr>
        <w:t>Additional resources</w:t>
      </w:r>
      <w:r w:rsidRPr="005D0457">
        <w:rPr>
          <w:szCs w:val="24"/>
        </w:rPr>
        <w:t xml:space="preserve"> relating to </w:t>
      </w:r>
      <w:r>
        <w:rPr>
          <w:szCs w:val="24"/>
        </w:rPr>
        <w:t>receivables</w:t>
      </w:r>
      <w:r w:rsidR="00A03152" w:rsidRPr="0099749D">
        <w:rPr>
          <w:szCs w:val="24"/>
        </w:rPr>
        <w:t>:</w:t>
      </w:r>
    </w:p>
    <w:p w14:paraId="4694B045" w14:textId="77777777" w:rsidR="00A03152" w:rsidRPr="0099749D" w:rsidRDefault="00A03152" w:rsidP="005C2F33">
      <w:pPr>
        <w:pStyle w:val="Bullet10"/>
        <w:numPr>
          <w:ilvl w:val="0"/>
          <w:numId w:val="17"/>
        </w:numPr>
        <w:tabs>
          <w:tab w:val="clear" w:pos="1860"/>
        </w:tabs>
        <w:spacing w:before="40" w:after="20"/>
        <w:ind w:left="720"/>
        <w:rPr>
          <w:szCs w:val="24"/>
        </w:rPr>
      </w:pPr>
      <w:r w:rsidRPr="0099749D">
        <w:rPr>
          <w:i/>
          <w:iCs/>
          <w:szCs w:val="24"/>
        </w:rPr>
        <w:t>Codification of Governmental Accounting and Financial Reporting Standards</w:t>
      </w:r>
      <w:r w:rsidRPr="0099749D">
        <w:rPr>
          <w:szCs w:val="24"/>
        </w:rPr>
        <w:t>, Sections 1600.101 through 1600.115 relating to basis of accounting.</w:t>
      </w:r>
    </w:p>
    <w:p w14:paraId="513B2DCB" w14:textId="77777777" w:rsidR="00A03152" w:rsidRPr="0099749D" w:rsidRDefault="00A03152" w:rsidP="005C2F33">
      <w:pPr>
        <w:pStyle w:val="Bullet10"/>
        <w:numPr>
          <w:ilvl w:val="0"/>
          <w:numId w:val="17"/>
        </w:numPr>
        <w:tabs>
          <w:tab w:val="clear" w:pos="1860"/>
        </w:tabs>
        <w:spacing w:before="40" w:after="20"/>
        <w:ind w:left="720"/>
        <w:rPr>
          <w:szCs w:val="24"/>
        </w:rPr>
      </w:pPr>
      <w:r w:rsidRPr="0099749D">
        <w:rPr>
          <w:szCs w:val="24"/>
        </w:rPr>
        <w:t xml:space="preserve">Paragraph 13 of Governmental Accounting Standards Board (GASB) Statement 38, </w:t>
      </w:r>
      <w:r w:rsidRPr="0099749D">
        <w:rPr>
          <w:i/>
          <w:iCs/>
          <w:szCs w:val="24"/>
        </w:rPr>
        <w:t>Certain Financial Statement Note Disclosures</w:t>
      </w:r>
      <w:r w:rsidRPr="0099749D">
        <w:rPr>
          <w:szCs w:val="24"/>
        </w:rPr>
        <w:t>.</w:t>
      </w:r>
    </w:p>
    <w:p w14:paraId="66589FB5" w14:textId="77777777" w:rsidR="00A03152" w:rsidRPr="0099749D" w:rsidRDefault="00A03152" w:rsidP="005C2F33">
      <w:pPr>
        <w:pStyle w:val="Bullet10"/>
        <w:numPr>
          <w:ilvl w:val="0"/>
          <w:numId w:val="17"/>
        </w:numPr>
        <w:tabs>
          <w:tab w:val="clear" w:pos="1860"/>
        </w:tabs>
        <w:spacing w:before="40"/>
        <w:ind w:left="720"/>
        <w:rPr>
          <w:szCs w:val="24"/>
        </w:rPr>
      </w:pPr>
      <w:r w:rsidRPr="0099749D">
        <w:rPr>
          <w:szCs w:val="24"/>
        </w:rPr>
        <w:lastRenderedPageBreak/>
        <w:t xml:space="preserve">Applicable pronouncements and interpretations of the Financial Accounting Standards Board (FASB), including </w:t>
      </w:r>
      <w:r w:rsidRPr="0099749D">
        <w:rPr>
          <w:i/>
          <w:iCs/>
          <w:szCs w:val="24"/>
        </w:rPr>
        <w:t>FASB Concepts Statement 5</w:t>
      </w:r>
      <w:r w:rsidRPr="0099749D">
        <w:rPr>
          <w:szCs w:val="24"/>
        </w:rPr>
        <w:t>, Paragraph 83b</w:t>
      </w:r>
      <w:r w:rsidRPr="0099749D">
        <w:rPr>
          <w:rStyle w:val="FootnoteReference"/>
          <w:szCs w:val="24"/>
        </w:rPr>
        <w:footnoteReference w:id="22"/>
      </w:r>
      <w:r w:rsidRPr="0099749D">
        <w:rPr>
          <w:szCs w:val="24"/>
        </w:rPr>
        <w:t>.</w:t>
      </w:r>
    </w:p>
    <w:p w14:paraId="70F3D039" w14:textId="77777777" w:rsidR="008B688F" w:rsidRDefault="003B3776" w:rsidP="009B555D">
      <w:pPr>
        <w:pStyle w:val="Bullet10"/>
        <w:spacing w:before="40"/>
        <w:ind w:left="0" w:firstLine="0"/>
        <w:rPr>
          <w:szCs w:val="24"/>
        </w:rPr>
      </w:pPr>
      <w:r w:rsidRPr="003B3776">
        <w:t xml:space="preserve">Golf and swimming fees, inspection charges, parking fees and parking meter receipts, and the vast multitude of miscellaneous exchange revenues </w:t>
      </w:r>
      <w:r w:rsidR="009B555D" w:rsidRPr="003B3776">
        <w:t xml:space="preserve">are excluded from consideration in the accruals for other </w:t>
      </w:r>
      <w:r w:rsidR="00BE0363">
        <w:t>receivables</w:t>
      </w:r>
      <w:r w:rsidR="009B555D" w:rsidRPr="003B3776">
        <w:t xml:space="preserve"> based on GAAP guidance</w:t>
      </w:r>
      <w:r w:rsidR="009B555D" w:rsidRPr="009B555D">
        <w:rPr>
          <w:vertAlign w:val="superscript"/>
        </w:rPr>
        <w:footnoteReference w:id="23"/>
      </w:r>
      <w:r w:rsidR="009B555D">
        <w:t xml:space="preserve">. </w:t>
      </w:r>
    </w:p>
    <w:p w14:paraId="54880302" w14:textId="576BC6B5" w:rsidR="008B688F" w:rsidRDefault="008B688F" w:rsidP="008B688F">
      <w:pPr>
        <w:keepLines/>
        <w:spacing w:before="60"/>
        <w:rPr>
          <w:szCs w:val="24"/>
        </w:rPr>
      </w:pPr>
      <w:r w:rsidRPr="0099749D">
        <w:rPr>
          <w:szCs w:val="24"/>
        </w:rPr>
        <w:t xml:space="preserve">The State of South Carolina prepares its </w:t>
      </w:r>
      <w:r w:rsidR="005E0E8A">
        <w:rPr>
          <w:szCs w:val="24"/>
        </w:rPr>
        <w:t xml:space="preserve">Annual </w:t>
      </w:r>
      <w:r w:rsidRPr="0099749D">
        <w:rPr>
          <w:szCs w:val="24"/>
        </w:rPr>
        <w:t>Comprehensive Financial Report (A</w:t>
      </w:r>
      <w:r w:rsidR="005E0E8A">
        <w:rPr>
          <w:szCs w:val="24"/>
        </w:rPr>
        <w:t>C</w:t>
      </w:r>
      <w:r w:rsidRPr="0099749D">
        <w:rPr>
          <w:szCs w:val="24"/>
        </w:rPr>
        <w:t xml:space="preserve">FR) in accordance with GAAP and the requirements of the Award for Excellence in Financial Reporting of the Government Finance Officers Association (GFOA).  These reporting requirements include using modified accrual and accrual </w:t>
      </w:r>
      <w:r w:rsidR="007E65B9" w:rsidRPr="0099749D">
        <w:rPr>
          <w:szCs w:val="24"/>
        </w:rPr>
        <w:t>bas</w:t>
      </w:r>
      <w:r w:rsidR="007E65B9">
        <w:rPr>
          <w:szCs w:val="24"/>
        </w:rPr>
        <w:t>e</w:t>
      </w:r>
      <w:r w:rsidR="007E65B9" w:rsidRPr="0099749D">
        <w:rPr>
          <w:szCs w:val="24"/>
        </w:rPr>
        <w:t xml:space="preserve">s </w:t>
      </w:r>
      <w:r w:rsidRPr="0099749D">
        <w:rPr>
          <w:szCs w:val="24"/>
        </w:rPr>
        <w:t>of accounting.  The following provides some of the requirements for Statewide reporting in the A</w:t>
      </w:r>
      <w:r w:rsidR="005E0E8A">
        <w:rPr>
          <w:szCs w:val="24"/>
        </w:rPr>
        <w:t>C</w:t>
      </w:r>
      <w:r w:rsidRPr="0099749D">
        <w:rPr>
          <w:szCs w:val="24"/>
        </w:rPr>
        <w:t xml:space="preserve">FR as it relates to </w:t>
      </w:r>
      <w:r w:rsidR="00BE0363">
        <w:rPr>
          <w:szCs w:val="24"/>
        </w:rPr>
        <w:t>other r</w:t>
      </w:r>
      <w:r w:rsidR="00705BA1">
        <w:rPr>
          <w:szCs w:val="24"/>
        </w:rPr>
        <w:t xml:space="preserve">eceivables </w:t>
      </w:r>
      <w:r w:rsidRPr="0099749D">
        <w:rPr>
          <w:szCs w:val="24"/>
        </w:rPr>
        <w:t>and this reporting package.</w:t>
      </w:r>
    </w:p>
    <w:p w14:paraId="00E83793" w14:textId="7B2C120A" w:rsidR="00831DDE" w:rsidRPr="0099749D" w:rsidRDefault="00831DDE" w:rsidP="008B688F">
      <w:pPr>
        <w:keepLines/>
        <w:spacing w:before="60"/>
        <w:rPr>
          <w:szCs w:val="24"/>
        </w:rPr>
      </w:pPr>
      <w:r w:rsidRPr="003B3776">
        <w:rPr>
          <w:szCs w:val="24"/>
        </w:rPr>
        <w:t xml:space="preserve">Amounts reported in this package should </w:t>
      </w:r>
      <w:r w:rsidRPr="003B3776">
        <w:rPr>
          <w:b/>
          <w:szCs w:val="24"/>
        </w:rPr>
        <w:t>NOT</w:t>
      </w:r>
      <w:r w:rsidRPr="003B3776">
        <w:rPr>
          <w:szCs w:val="24"/>
        </w:rPr>
        <w:t xml:space="preserve"> include amounts </w:t>
      </w:r>
      <w:r w:rsidR="00214970">
        <w:rPr>
          <w:szCs w:val="24"/>
        </w:rPr>
        <w:t>reported</w:t>
      </w:r>
      <w:r w:rsidRPr="003B3776">
        <w:rPr>
          <w:szCs w:val="24"/>
        </w:rPr>
        <w:t xml:space="preserve"> on package 3.18</w:t>
      </w:r>
      <w:r w:rsidR="008D0883">
        <w:rPr>
          <w:szCs w:val="24"/>
        </w:rPr>
        <w:t xml:space="preserve"> - </w:t>
      </w:r>
      <w:r w:rsidR="00120ED1">
        <w:rPr>
          <w:szCs w:val="24"/>
        </w:rPr>
        <w:t>Interfund Payables</w:t>
      </w:r>
      <w:r w:rsidR="008D0883">
        <w:rPr>
          <w:szCs w:val="24"/>
        </w:rPr>
        <w:t>.</w:t>
      </w:r>
    </w:p>
    <w:p w14:paraId="67A8BFB1" w14:textId="77777777" w:rsidR="008B688F" w:rsidRPr="0058150D" w:rsidRDefault="008B688F" w:rsidP="008B688F">
      <w:pPr>
        <w:pStyle w:val="Heading5"/>
        <w:ind w:left="360" w:hanging="360"/>
        <w:rPr>
          <w:b w:val="0"/>
          <w:sz w:val="24"/>
          <w:szCs w:val="24"/>
        </w:rPr>
      </w:pPr>
      <w:r w:rsidRPr="0058150D">
        <w:rPr>
          <w:b w:val="0"/>
          <w:sz w:val="24"/>
          <w:szCs w:val="24"/>
        </w:rPr>
        <w:t xml:space="preserve">Charges for Services and Commodities </w:t>
      </w:r>
    </w:p>
    <w:p w14:paraId="4FCED978" w14:textId="77777777" w:rsidR="008B688F" w:rsidRPr="0099749D" w:rsidRDefault="008B688F" w:rsidP="008B688F">
      <w:pPr>
        <w:spacing w:before="60"/>
        <w:rPr>
          <w:szCs w:val="24"/>
        </w:rPr>
      </w:pPr>
      <w:r w:rsidRPr="0099749D">
        <w:rPr>
          <w:szCs w:val="24"/>
        </w:rPr>
        <w:t xml:space="preserve">Charges for </w:t>
      </w:r>
      <w:r w:rsidR="00462825">
        <w:rPr>
          <w:szCs w:val="24"/>
        </w:rPr>
        <w:t>s</w:t>
      </w:r>
      <w:r w:rsidRPr="0099749D">
        <w:rPr>
          <w:szCs w:val="24"/>
        </w:rPr>
        <w:t xml:space="preserve">ervices and </w:t>
      </w:r>
      <w:r w:rsidR="00462825">
        <w:rPr>
          <w:szCs w:val="24"/>
        </w:rPr>
        <w:t>c</w:t>
      </w:r>
      <w:r w:rsidRPr="0099749D">
        <w:rPr>
          <w:szCs w:val="24"/>
        </w:rPr>
        <w:t>ommodities are identified by GAAP as exchange transactions</w:t>
      </w:r>
      <w:r w:rsidR="00440A89">
        <w:rPr>
          <w:rStyle w:val="FootnoteReference"/>
          <w:szCs w:val="24"/>
        </w:rPr>
        <w:footnoteReference w:id="24"/>
      </w:r>
      <w:r w:rsidRPr="0099749D">
        <w:rPr>
          <w:szCs w:val="24"/>
        </w:rPr>
        <w:t xml:space="preserve">.  Revenue from exchange transactions </w:t>
      </w:r>
      <w:proofErr w:type="gramStart"/>
      <w:r w:rsidRPr="0099749D">
        <w:rPr>
          <w:szCs w:val="24"/>
        </w:rPr>
        <w:t>are</w:t>
      </w:r>
      <w:proofErr w:type="gramEnd"/>
      <w:r w:rsidRPr="0099749D">
        <w:rPr>
          <w:szCs w:val="24"/>
        </w:rPr>
        <w:t xml:space="preserve"> to be reported in the fiscal year in which the exchange takes place, regardless of when cash is received.</w:t>
      </w:r>
    </w:p>
    <w:p w14:paraId="4D79B2AD" w14:textId="77777777" w:rsidR="008B688F" w:rsidRPr="0099749D" w:rsidRDefault="008B688F" w:rsidP="00DD4167">
      <w:pPr>
        <w:keepNext/>
        <w:spacing w:before="60" w:after="40"/>
        <w:rPr>
          <w:szCs w:val="24"/>
        </w:rPr>
      </w:pPr>
      <w:r w:rsidRPr="0099749D">
        <w:rPr>
          <w:szCs w:val="24"/>
        </w:rPr>
        <w:t>Therefore, for GAAP reporting purposes, the State’s policy is to:</w:t>
      </w:r>
    </w:p>
    <w:p w14:paraId="50C867C5" w14:textId="77777777" w:rsidR="008B688F" w:rsidRPr="0099749D" w:rsidRDefault="008B688F" w:rsidP="005C2F33">
      <w:pPr>
        <w:pStyle w:val="Bullet10"/>
        <w:numPr>
          <w:ilvl w:val="0"/>
          <w:numId w:val="17"/>
        </w:numPr>
        <w:tabs>
          <w:tab w:val="clear" w:pos="1860"/>
        </w:tabs>
        <w:spacing w:before="40" w:after="40"/>
        <w:ind w:left="720"/>
        <w:rPr>
          <w:szCs w:val="24"/>
        </w:rPr>
      </w:pPr>
      <w:r w:rsidRPr="0099749D">
        <w:rPr>
          <w:szCs w:val="24"/>
        </w:rPr>
        <w:t xml:space="preserve">Report Accounts Receivable </w:t>
      </w:r>
      <w:proofErr w:type="gramStart"/>
      <w:r w:rsidRPr="0099749D">
        <w:rPr>
          <w:szCs w:val="24"/>
        </w:rPr>
        <w:t>at</w:t>
      </w:r>
      <w:proofErr w:type="gramEnd"/>
      <w:r w:rsidRPr="0099749D">
        <w:rPr>
          <w:szCs w:val="24"/>
        </w:rPr>
        <w:t xml:space="preserve"> June 30 if, at that date, </w:t>
      </w:r>
      <w:r w:rsidRPr="0099749D">
        <w:rPr>
          <w:szCs w:val="24"/>
          <w:u w:val="single"/>
        </w:rPr>
        <w:t>both</w:t>
      </w:r>
      <w:r w:rsidRPr="0099749D">
        <w:rPr>
          <w:szCs w:val="24"/>
        </w:rPr>
        <w:t>:</w:t>
      </w:r>
    </w:p>
    <w:p w14:paraId="3341D100" w14:textId="77777777" w:rsidR="008B688F" w:rsidRPr="0099749D" w:rsidRDefault="008B688F" w:rsidP="008B688F">
      <w:pPr>
        <w:pStyle w:val="Bullet2"/>
        <w:spacing w:before="40" w:after="40"/>
        <w:ind w:left="1080" w:hanging="360"/>
        <w:rPr>
          <w:szCs w:val="24"/>
        </w:rPr>
      </w:pPr>
      <w:r w:rsidRPr="0099749D">
        <w:rPr>
          <w:szCs w:val="24"/>
        </w:rPr>
        <w:t>--</w:t>
      </w:r>
      <w:r w:rsidRPr="0099749D">
        <w:rPr>
          <w:szCs w:val="24"/>
        </w:rPr>
        <w:tab/>
        <w:t xml:space="preserve">The goods or services had been provided </w:t>
      </w:r>
      <w:r w:rsidRPr="0099749D">
        <w:rPr>
          <w:b/>
          <w:bCs/>
          <w:szCs w:val="24"/>
        </w:rPr>
        <w:t>AND</w:t>
      </w:r>
    </w:p>
    <w:p w14:paraId="7EFBBE12" w14:textId="77777777" w:rsidR="008B688F" w:rsidRPr="0099749D" w:rsidRDefault="008B688F" w:rsidP="008B688F">
      <w:pPr>
        <w:pStyle w:val="Bullet2"/>
        <w:spacing w:before="40" w:after="40"/>
        <w:ind w:left="1080" w:hanging="360"/>
        <w:rPr>
          <w:szCs w:val="24"/>
        </w:rPr>
      </w:pPr>
      <w:r w:rsidRPr="0099749D">
        <w:rPr>
          <w:szCs w:val="24"/>
        </w:rPr>
        <w:t>--</w:t>
      </w:r>
      <w:r w:rsidRPr="0099749D">
        <w:rPr>
          <w:szCs w:val="24"/>
        </w:rPr>
        <w:tab/>
        <w:t xml:space="preserve">Payment for </w:t>
      </w:r>
      <w:r w:rsidR="007E65B9">
        <w:rPr>
          <w:szCs w:val="24"/>
        </w:rPr>
        <w:t>goods or services</w:t>
      </w:r>
      <w:r w:rsidRPr="0099749D">
        <w:rPr>
          <w:szCs w:val="24"/>
        </w:rPr>
        <w:t xml:space="preserve"> had not yet been collected.</w:t>
      </w:r>
    </w:p>
    <w:p w14:paraId="1AB7A6E9" w14:textId="77777777" w:rsidR="008B688F" w:rsidRPr="0099749D" w:rsidRDefault="008B688F" w:rsidP="005C2F33">
      <w:pPr>
        <w:pStyle w:val="NormalIndent"/>
        <w:numPr>
          <w:ilvl w:val="0"/>
          <w:numId w:val="18"/>
        </w:numPr>
        <w:tabs>
          <w:tab w:val="clear" w:pos="795"/>
        </w:tabs>
        <w:spacing w:before="40" w:after="40"/>
        <w:ind w:left="720"/>
        <w:rPr>
          <w:szCs w:val="24"/>
        </w:rPr>
      </w:pPr>
      <w:r w:rsidRPr="0099749D">
        <w:rPr>
          <w:szCs w:val="24"/>
        </w:rPr>
        <w:t>Report the</w:t>
      </w:r>
      <w:r w:rsidRPr="00DD4167">
        <w:rPr>
          <w:szCs w:val="24"/>
        </w:rPr>
        <w:t xml:space="preserve"> </w:t>
      </w:r>
      <w:r w:rsidRPr="00DD4167">
        <w:rPr>
          <w:iCs/>
          <w:szCs w:val="24"/>
        </w:rPr>
        <w:t>Current</w:t>
      </w:r>
      <w:r w:rsidR="00440A89">
        <w:rPr>
          <w:rStyle w:val="FootnoteReference"/>
          <w:szCs w:val="24"/>
        </w:rPr>
        <w:footnoteReference w:id="25"/>
      </w:r>
      <w:r w:rsidRPr="0099749D">
        <w:rPr>
          <w:szCs w:val="24"/>
        </w:rPr>
        <w:t xml:space="preserve"> Accounts Receivable. </w:t>
      </w:r>
    </w:p>
    <w:p w14:paraId="128B018E" w14:textId="77777777" w:rsidR="008B688F" w:rsidRPr="0099749D" w:rsidRDefault="008B688F" w:rsidP="005C2F33">
      <w:pPr>
        <w:pStyle w:val="Bullet10"/>
        <w:numPr>
          <w:ilvl w:val="0"/>
          <w:numId w:val="17"/>
        </w:numPr>
        <w:tabs>
          <w:tab w:val="clear" w:pos="1860"/>
        </w:tabs>
        <w:spacing w:before="40" w:after="40"/>
        <w:ind w:left="720"/>
        <w:rPr>
          <w:szCs w:val="24"/>
        </w:rPr>
      </w:pPr>
      <w:r w:rsidRPr="0099749D">
        <w:rPr>
          <w:szCs w:val="24"/>
        </w:rPr>
        <w:t>Report the</w:t>
      </w:r>
      <w:r w:rsidRPr="00DD4167">
        <w:rPr>
          <w:szCs w:val="24"/>
        </w:rPr>
        <w:t xml:space="preserve"> </w:t>
      </w:r>
      <w:proofErr w:type="gramStart"/>
      <w:r w:rsidRPr="00DD4167">
        <w:rPr>
          <w:iCs/>
          <w:szCs w:val="24"/>
        </w:rPr>
        <w:t>Non-Current</w:t>
      </w:r>
      <w:proofErr w:type="gramEnd"/>
      <w:r w:rsidR="00440A89">
        <w:rPr>
          <w:rStyle w:val="FootnoteReference"/>
          <w:szCs w:val="24"/>
        </w:rPr>
        <w:footnoteReference w:id="26"/>
      </w:r>
      <w:r w:rsidRPr="0099749D">
        <w:rPr>
          <w:szCs w:val="24"/>
        </w:rPr>
        <w:t xml:space="preserve"> Accounts Receivable.  </w:t>
      </w:r>
    </w:p>
    <w:p w14:paraId="79C74DF1" w14:textId="77777777" w:rsidR="008B688F" w:rsidRPr="0099749D" w:rsidRDefault="008B688F" w:rsidP="001D3E8E">
      <w:pPr>
        <w:pStyle w:val="Bullet10"/>
        <w:keepLines/>
        <w:ind w:left="0" w:firstLine="0"/>
        <w:rPr>
          <w:szCs w:val="24"/>
        </w:rPr>
      </w:pPr>
      <w:r w:rsidRPr="0099749D">
        <w:rPr>
          <w:bCs/>
          <w:szCs w:val="24"/>
        </w:rPr>
        <w:t>G</w:t>
      </w:r>
      <w:r w:rsidRPr="0099749D">
        <w:rPr>
          <w:szCs w:val="24"/>
        </w:rPr>
        <w:t xml:space="preserve">AAP require the State to disaggregate significant components of receivables based on liquidity characteristics for financial reporting purposes.  This reporting package obtains receivable balances for the following components:  patient, student, and other accounts receivable.  Agencies need to determine which category of receivable best describes the underlying transactions.  </w:t>
      </w:r>
    </w:p>
    <w:p w14:paraId="6E0620F1" w14:textId="77777777" w:rsidR="00B83A8C" w:rsidRPr="0099749D" w:rsidRDefault="00B83A8C" w:rsidP="00B83A8C">
      <w:pPr>
        <w:pStyle w:val="Heading4"/>
      </w:pPr>
      <w:r w:rsidRPr="0099749D">
        <w:lastRenderedPageBreak/>
        <w:t>Estimat</w:t>
      </w:r>
      <w:r w:rsidR="002E6C1B">
        <w:t>e and Report an</w:t>
      </w:r>
      <w:r w:rsidRPr="0099749D">
        <w:t xml:space="preserve"> Allowance for Uncollectible A</w:t>
      </w:r>
      <w:r w:rsidR="002E6C1B">
        <w:t>ccounts</w:t>
      </w:r>
    </w:p>
    <w:p w14:paraId="7C2AAA45" w14:textId="77777777" w:rsidR="002E6C1B" w:rsidRPr="0099749D" w:rsidRDefault="002E6C1B" w:rsidP="002E6C1B">
      <w:pPr>
        <w:pStyle w:val="Bullet10"/>
        <w:spacing w:before="40" w:after="40"/>
        <w:ind w:left="0" w:firstLine="0"/>
        <w:rPr>
          <w:szCs w:val="24"/>
        </w:rPr>
      </w:pPr>
      <w:r>
        <w:rPr>
          <w:szCs w:val="24"/>
        </w:rPr>
        <w:t>Gross a</w:t>
      </w:r>
      <w:r w:rsidRPr="0099749D">
        <w:rPr>
          <w:szCs w:val="24"/>
        </w:rPr>
        <w:t xml:space="preserve">ccounts </w:t>
      </w:r>
      <w:r>
        <w:rPr>
          <w:szCs w:val="24"/>
        </w:rPr>
        <w:t>receivable less the a</w:t>
      </w:r>
      <w:r w:rsidRPr="0099749D">
        <w:rPr>
          <w:szCs w:val="24"/>
        </w:rPr>
        <w:t>llowance result</w:t>
      </w:r>
      <w:r>
        <w:rPr>
          <w:szCs w:val="24"/>
        </w:rPr>
        <w:t>s</w:t>
      </w:r>
      <w:r w:rsidRPr="0099749D">
        <w:rPr>
          <w:szCs w:val="24"/>
        </w:rPr>
        <w:t xml:space="preserve"> </w:t>
      </w:r>
      <w:r>
        <w:rPr>
          <w:szCs w:val="24"/>
        </w:rPr>
        <w:t>in</w:t>
      </w:r>
      <w:r w:rsidRPr="0099749D">
        <w:rPr>
          <w:szCs w:val="24"/>
        </w:rPr>
        <w:t xml:space="preserve"> the amount expected to be collected </w:t>
      </w:r>
      <w:proofErr w:type="gramStart"/>
      <w:r w:rsidRPr="0099749D">
        <w:rPr>
          <w:szCs w:val="24"/>
        </w:rPr>
        <w:t>at</w:t>
      </w:r>
      <w:proofErr w:type="gramEnd"/>
      <w:r w:rsidRPr="0099749D">
        <w:rPr>
          <w:szCs w:val="24"/>
        </w:rPr>
        <w:t xml:space="preserve"> June 30 (also known as </w:t>
      </w:r>
      <w:r>
        <w:rPr>
          <w:szCs w:val="24"/>
        </w:rPr>
        <w:t>Net Accounts Receivable).  The a</w:t>
      </w:r>
      <w:r w:rsidRPr="0099749D">
        <w:rPr>
          <w:szCs w:val="24"/>
        </w:rPr>
        <w:t xml:space="preserve">llowance should be estimated based on historical data and current </w:t>
      </w:r>
      <w:r>
        <w:rPr>
          <w:szCs w:val="24"/>
        </w:rPr>
        <w:t>information on the counterparty</w:t>
      </w:r>
      <w:r w:rsidRPr="0099749D">
        <w:rPr>
          <w:szCs w:val="24"/>
        </w:rPr>
        <w:t>:</w:t>
      </w:r>
    </w:p>
    <w:p w14:paraId="0BD3087D" w14:textId="77777777" w:rsidR="002E6C1B" w:rsidRPr="0099749D" w:rsidRDefault="002E6C1B" w:rsidP="005C2F33">
      <w:pPr>
        <w:pStyle w:val="Bullet2"/>
        <w:numPr>
          <w:ilvl w:val="0"/>
          <w:numId w:val="49"/>
        </w:numPr>
        <w:spacing w:before="40" w:after="40"/>
        <w:rPr>
          <w:szCs w:val="24"/>
        </w:rPr>
      </w:pPr>
      <w:r w:rsidRPr="0099749D">
        <w:rPr>
          <w:szCs w:val="24"/>
        </w:rPr>
        <w:t>Gather historical data on the timing and value of amounts collected for similar transactions in prior periods.  Common practice would be a ratio of total amount owed (receivable at the valuation date) or a ratio of the activity for the period ending (sold during the period ended on the valuation date).</w:t>
      </w:r>
    </w:p>
    <w:p w14:paraId="39F95AC8" w14:textId="77777777" w:rsidR="002E6C1B" w:rsidRPr="0099749D" w:rsidRDefault="002E6C1B" w:rsidP="005C2F33">
      <w:pPr>
        <w:pStyle w:val="Bullet2"/>
        <w:numPr>
          <w:ilvl w:val="0"/>
          <w:numId w:val="49"/>
        </w:numPr>
        <w:spacing w:before="40" w:after="40"/>
        <w:rPr>
          <w:szCs w:val="24"/>
        </w:rPr>
      </w:pPr>
      <w:r w:rsidRPr="0099749D">
        <w:rPr>
          <w:szCs w:val="24"/>
        </w:rPr>
        <w:t xml:space="preserve">Use the ratios determined from historical data to calculate an estimate of the amount expected to be collected based on the criteria for the current period (balance owed </w:t>
      </w:r>
      <w:proofErr w:type="gramStart"/>
      <w:r w:rsidRPr="0099749D">
        <w:rPr>
          <w:szCs w:val="24"/>
        </w:rPr>
        <w:t>at</w:t>
      </w:r>
      <w:proofErr w:type="gramEnd"/>
      <w:r w:rsidRPr="0099749D">
        <w:rPr>
          <w:szCs w:val="24"/>
        </w:rPr>
        <w:t xml:space="preserve"> June 30 or sales for the period).  </w:t>
      </w:r>
    </w:p>
    <w:p w14:paraId="2E1C8D6A" w14:textId="77777777" w:rsidR="002E6C1B" w:rsidRPr="0099749D" w:rsidRDefault="002E6C1B" w:rsidP="005C2F33">
      <w:pPr>
        <w:pStyle w:val="Bullet2"/>
        <w:numPr>
          <w:ilvl w:val="0"/>
          <w:numId w:val="49"/>
        </w:numPr>
        <w:spacing w:before="40" w:after="40"/>
        <w:rPr>
          <w:szCs w:val="24"/>
        </w:rPr>
      </w:pPr>
      <w:r w:rsidRPr="0099749D">
        <w:rPr>
          <w:szCs w:val="24"/>
        </w:rPr>
        <w:t xml:space="preserve">The Allowance for Uncollectible Receivables should be the difference between what is expected to be </w:t>
      </w:r>
      <w:proofErr w:type="gramStart"/>
      <w:r w:rsidRPr="0099749D">
        <w:rPr>
          <w:szCs w:val="24"/>
        </w:rPr>
        <w:t>collected</w:t>
      </w:r>
      <w:proofErr w:type="gramEnd"/>
      <w:r w:rsidRPr="0099749D">
        <w:rPr>
          <w:szCs w:val="24"/>
        </w:rPr>
        <w:t xml:space="preserve"> and the amount actually owed.  </w:t>
      </w:r>
    </w:p>
    <w:p w14:paraId="1869DE6C" w14:textId="77777777" w:rsidR="002E6C1B" w:rsidRPr="0099749D" w:rsidRDefault="002E6C1B" w:rsidP="005C2F33">
      <w:pPr>
        <w:pStyle w:val="Bullet2"/>
        <w:numPr>
          <w:ilvl w:val="0"/>
          <w:numId w:val="49"/>
        </w:numPr>
        <w:spacing w:before="40" w:after="40"/>
        <w:rPr>
          <w:szCs w:val="24"/>
        </w:rPr>
      </w:pPr>
      <w:r w:rsidRPr="0099749D">
        <w:rPr>
          <w:szCs w:val="24"/>
        </w:rPr>
        <w:t xml:space="preserve">Evaluate the completeness of the allowance by review of the parties from whom the receivables are owed and specific information related to those parties.  If additional allowance is </w:t>
      </w:r>
      <w:proofErr w:type="gramStart"/>
      <w:r w:rsidRPr="0099749D">
        <w:rPr>
          <w:szCs w:val="24"/>
        </w:rPr>
        <w:t>necessary</w:t>
      </w:r>
      <w:proofErr w:type="gramEnd"/>
      <w:r w:rsidRPr="0099749D">
        <w:rPr>
          <w:szCs w:val="24"/>
        </w:rPr>
        <w:t xml:space="preserve"> make the appropriate modification to the calculation.  </w:t>
      </w:r>
    </w:p>
    <w:p w14:paraId="30869094" w14:textId="77777777" w:rsidR="00B83A8C" w:rsidRPr="0099749D" w:rsidRDefault="00B83A8C" w:rsidP="00B83A8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rPr>
          <w:szCs w:val="24"/>
        </w:rPr>
      </w:pPr>
      <w:r w:rsidRPr="0099749D">
        <w:rPr>
          <w:szCs w:val="24"/>
        </w:rPr>
        <w:t xml:space="preserve">An evaluation of current specific information on the counterparty, such as operating solvency, cash flow problems, or other indicators of non-payment provide evidence that the probability of collection is not assured.  This information should impact the allowance recognized and reported for the receivable. </w:t>
      </w:r>
    </w:p>
    <w:p w14:paraId="35655236" w14:textId="77777777" w:rsidR="00EF39D1" w:rsidRPr="0099749D" w:rsidRDefault="00EF39D1" w:rsidP="00DD4167">
      <w:pPr>
        <w:pStyle w:val="Heading4"/>
      </w:pPr>
      <w:r w:rsidRPr="0099749D">
        <w:t>Writing Off Accounts Receivable Determined to be Uncollectible</w:t>
      </w:r>
    </w:p>
    <w:p w14:paraId="0B0FB04C" w14:textId="77777777" w:rsidR="00EF39D1" w:rsidRDefault="00EF39D1" w:rsidP="00DD4167">
      <w:pPr>
        <w:pStyle w:val="BodyText"/>
        <w:spacing w:before="40"/>
        <w:rPr>
          <w:szCs w:val="24"/>
        </w:rPr>
      </w:pPr>
      <w:r w:rsidRPr="0099749D">
        <w:rPr>
          <w:szCs w:val="24"/>
        </w:rPr>
        <w:t xml:space="preserve">The management at each State agency is responsible for establishing its own internal policies and procedures for identifying Accounts Receivable </w:t>
      </w:r>
      <w:r w:rsidR="00AD7B47" w:rsidRPr="0099749D">
        <w:rPr>
          <w:szCs w:val="24"/>
        </w:rPr>
        <w:t xml:space="preserve">determined to be permanently </w:t>
      </w:r>
      <w:r w:rsidRPr="0099749D">
        <w:rPr>
          <w:szCs w:val="24"/>
        </w:rPr>
        <w:t>uncollectible and removing the value from the reported Accounts Receivable and Allowance balances.  In some cases, State or Federal laws and other regulations may specify requirements for removing accounts receivable from the agency’s books.  However, for GAAP reporting purposes, agencies must review and adjust year-end receivable balances for accounts for which ultimate collection is remote</w:t>
      </w:r>
      <w:r w:rsidR="001D3E8E">
        <w:rPr>
          <w:rStyle w:val="FootnoteReference"/>
          <w:szCs w:val="24"/>
        </w:rPr>
        <w:footnoteReference w:id="27"/>
      </w:r>
      <w:r w:rsidRPr="0099749D">
        <w:rPr>
          <w:szCs w:val="24"/>
        </w:rPr>
        <w:t>.  This determination should be made independently of laws or regulations.  The accounting process of reducing both the gross Accounts Receivable and the related Allowance for Uncollectible Accounts Receivable has no effect on the validity of the debt owed to the State or on the agency’s continuing collection efforts.</w:t>
      </w:r>
    </w:p>
    <w:p w14:paraId="73EAFC71" w14:textId="77777777" w:rsidR="00D02D43" w:rsidRPr="00E844A5" w:rsidRDefault="00D02D43" w:rsidP="00D02D43">
      <w:pPr>
        <w:pStyle w:val="Heading4"/>
      </w:pPr>
      <w:bookmarkStart w:id="217" w:name="_Toc296021455"/>
      <w:bookmarkStart w:id="218" w:name="_Toc296021544"/>
      <w:bookmarkStart w:id="219" w:name="_Toc296235436"/>
      <w:bookmarkStart w:id="220" w:name="_Toc296235537"/>
      <w:r w:rsidRPr="0058150D">
        <w:t>Medicaid Refund Receivables</w:t>
      </w:r>
      <w:bookmarkEnd w:id="217"/>
      <w:bookmarkEnd w:id="218"/>
      <w:bookmarkEnd w:id="219"/>
      <w:bookmarkEnd w:id="220"/>
    </w:p>
    <w:p w14:paraId="18E37B08" w14:textId="77777777" w:rsidR="00D02D43" w:rsidRDefault="00D02D43" w:rsidP="00D02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20" w:after="30"/>
      </w:pPr>
      <w:r>
        <w:t xml:space="preserve">Section 16.24 of </w:t>
      </w:r>
      <w:r>
        <w:rPr>
          <w:i/>
        </w:rPr>
        <w:t>Audits of State and Local Governmental Units</w:t>
      </w:r>
      <w:r>
        <w:t xml:space="preserve"> (May 1996, American Institute of Certified Public Accountants) stated:</w:t>
      </w:r>
    </w:p>
    <w:p w14:paraId="69F39EAC" w14:textId="77777777" w:rsidR="00D02D43" w:rsidRPr="0099749D" w:rsidRDefault="00D02D43" w:rsidP="00D02D43">
      <w:pPr>
        <w:pStyle w:val="Quote1"/>
        <w:spacing w:before="0" w:after="10"/>
        <w:rPr>
          <w:szCs w:val="24"/>
        </w:rPr>
      </w:pPr>
      <w:r>
        <w:t xml:space="preserve">Medicaid services may be administered by state or through local governments on behalf of the states.  In either case, health care providers (for example hospitals, physicians, nursing homes, pharmacies) are required to follow guidelines established by the state.  Various methods and formulas are </w:t>
      </w:r>
      <w:r w:rsidRPr="0099749D">
        <w:rPr>
          <w:szCs w:val="24"/>
        </w:rPr>
        <w:t>used to reimburse providers ... for services rendered, including the following.</w:t>
      </w:r>
    </w:p>
    <w:p w14:paraId="421B123D" w14:textId="77777777" w:rsidR="00D02D43" w:rsidRPr="0099749D" w:rsidRDefault="00D02D43" w:rsidP="00D02D43">
      <w:pPr>
        <w:pStyle w:val="Bullet2"/>
        <w:spacing w:before="5" w:after="5"/>
        <w:ind w:right="720"/>
        <w:rPr>
          <w:szCs w:val="24"/>
        </w:rPr>
      </w:pPr>
      <w:r w:rsidRPr="0099749D">
        <w:rPr>
          <w:szCs w:val="24"/>
        </w:rPr>
        <w:t>*</w:t>
      </w:r>
      <w:r w:rsidRPr="0099749D">
        <w:rPr>
          <w:szCs w:val="24"/>
        </w:rPr>
        <w:tab/>
        <w:t>Hospitals and nursing homes may be reimbursed for the costs of rendering the services, with costs based on retrospective cost reports filed by the provider.</w:t>
      </w:r>
    </w:p>
    <w:p w14:paraId="23977B43" w14:textId="77777777" w:rsidR="00D02D43" w:rsidRPr="0099749D" w:rsidRDefault="00D02D43" w:rsidP="00D02D43">
      <w:pPr>
        <w:pStyle w:val="Bullet2"/>
        <w:spacing w:before="5" w:after="5"/>
        <w:ind w:right="720"/>
        <w:rPr>
          <w:szCs w:val="24"/>
        </w:rPr>
      </w:pPr>
      <w:r w:rsidRPr="0099749D">
        <w:rPr>
          <w:szCs w:val="24"/>
        </w:rPr>
        <w:lastRenderedPageBreak/>
        <w:t>*</w:t>
      </w:r>
      <w:r w:rsidRPr="0099749D">
        <w:rPr>
          <w:szCs w:val="24"/>
        </w:rPr>
        <w:tab/>
        <w:t>Hospitals and other providers may be paid a predetermined (prospective) amount for each service rendered, based on the nature and/or the complexity of the services.</w:t>
      </w:r>
    </w:p>
    <w:p w14:paraId="05608FA9" w14:textId="77777777" w:rsidR="00D02D43" w:rsidRPr="0099749D" w:rsidRDefault="00D02D43" w:rsidP="00D02D43">
      <w:pPr>
        <w:pStyle w:val="Bullet2"/>
        <w:spacing w:before="5" w:after="20"/>
        <w:ind w:right="720"/>
        <w:rPr>
          <w:szCs w:val="24"/>
        </w:rPr>
      </w:pPr>
      <w:r w:rsidRPr="0099749D">
        <w:rPr>
          <w:szCs w:val="24"/>
        </w:rPr>
        <w:t>*</w:t>
      </w:r>
      <w:r w:rsidRPr="0099749D">
        <w:rPr>
          <w:szCs w:val="24"/>
        </w:rPr>
        <w:tab/>
        <w:t>Non-hospital providers may be reimbursed based on the cost of the service (for example, physician office visit, prescription) up to a maximum cost per service.</w:t>
      </w:r>
    </w:p>
    <w:p w14:paraId="64740376" w14:textId="77777777" w:rsidR="00D02D43" w:rsidRPr="0099749D" w:rsidRDefault="00D02D43" w:rsidP="00D02D43">
      <w:pPr>
        <w:pStyle w:val="Indent1"/>
        <w:spacing w:before="40" w:after="60"/>
        <w:ind w:right="720"/>
        <w:rPr>
          <w:szCs w:val="24"/>
        </w:rPr>
      </w:pPr>
      <w:r w:rsidRPr="0099749D">
        <w:rPr>
          <w:szCs w:val="24"/>
        </w:rPr>
        <w:t xml:space="preserve">At times, the state may make payments during the year to providers, particularly hospitals, based on interim reports.  Settlements may be made at year-end, based on audited cost reports.  Those settlements can be either receivables from or payables to the providers. </w:t>
      </w:r>
    </w:p>
    <w:p w14:paraId="51B5A121" w14:textId="1C6F565A" w:rsidR="00D02D43" w:rsidRPr="0099749D" w:rsidRDefault="00D02D43" w:rsidP="00D02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60"/>
        <w:rPr>
          <w:szCs w:val="24"/>
        </w:rPr>
      </w:pPr>
      <w:r w:rsidRPr="0099749D">
        <w:rPr>
          <w:szCs w:val="24"/>
        </w:rPr>
        <w:t>Amounts that represent payables to providers should be reported in the Accounts Payable Reporting Package</w:t>
      </w:r>
      <w:r w:rsidR="008D0883">
        <w:rPr>
          <w:szCs w:val="24"/>
        </w:rPr>
        <w:t xml:space="preserve"> (s</w:t>
      </w:r>
      <w:r w:rsidRPr="0099749D">
        <w:rPr>
          <w:szCs w:val="24"/>
        </w:rPr>
        <w:t>ee Section 3.12 of this manual</w:t>
      </w:r>
      <w:r w:rsidR="008D0883">
        <w:rPr>
          <w:szCs w:val="24"/>
        </w:rPr>
        <w:t>).</w:t>
      </w:r>
      <w:r w:rsidRPr="0099749D">
        <w:rPr>
          <w:szCs w:val="24"/>
        </w:rPr>
        <w:t xml:space="preserve">  Amounts that represent receivables from providers should be reported in this reporting package.</w:t>
      </w:r>
    </w:p>
    <w:p w14:paraId="3FF351F8" w14:textId="77777777" w:rsidR="0012040B" w:rsidRDefault="0058150D" w:rsidP="003B02BA">
      <w:pPr>
        <w:pStyle w:val="Heading2"/>
      </w:pPr>
      <w:bookmarkStart w:id="221" w:name="_Toc296021454"/>
      <w:bookmarkStart w:id="222" w:name="_Toc296021543"/>
      <w:bookmarkStart w:id="223" w:name="_Toc296235435"/>
      <w:bookmarkStart w:id="224" w:name="_Toc296235536"/>
      <w:bookmarkStart w:id="225" w:name="_Toc296247822"/>
      <w:bookmarkStart w:id="226" w:name="_Toc166149254"/>
      <w:r>
        <w:t>Section _.5</w:t>
      </w:r>
      <w:r w:rsidRPr="0099749D">
        <w:t xml:space="preserve"> </w:t>
      </w:r>
      <w:bookmarkEnd w:id="221"/>
      <w:bookmarkEnd w:id="222"/>
      <w:bookmarkEnd w:id="223"/>
      <w:bookmarkEnd w:id="224"/>
      <w:bookmarkEnd w:id="225"/>
      <w:r w:rsidR="00DB0A7A">
        <w:t>Unearned Revenue</w:t>
      </w:r>
      <w:bookmarkEnd w:id="226"/>
    </w:p>
    <w:p w14:paraId="749C6EE8" w14:textId="77777777" w:rsidR="00B83A8C" w:rsidRPr="0058150D" w:rsidRDefault="00B83A8C" w:rsidP="00B83A8C">
      <w:pPr>
        <w:pStyle w:val="Heading4"/>
      </w:pPr>
      <w:bookmarkStart w:id="227" w:name="_Toc296021456"/>
      <w:bookmarkStart w:id="228" w:name="_Toc296021545"/>
      <w:bookmarkStart w:id="229" w:name="_Toc296235437"/>
      <w:bookmarkStart w:id="230" w:name="_Toc296235538"/>
      <w:bookmarkStart w:id="231" w:name="_Toc296247823"/>
      <w:r w:rsidRPr="0058150D">
        <w:t xml:space="preserve">Recording </w:t>
      </w:r>
      <w:r w:rsidR="00BE0363">
        <w:t>U</w:t>
      </w:r>
      <w:r>
        <w:t>nearned</w:t>
      </w:r>
      <w:r w:rsidRPr="0058150D">
        <w:t xml:space="preserve"> Revenue</w:t>
      </w:r>
    </w:p>
    <w:p w14:paraId="3057B5FD" w14:textId="77777777" w:rsidR="00B83A8C" w:rsidRPr="0099749D" w:rsidRDefault="0044067C" w:rsidP="00B83A8C">
      <w:pPr>
        <w:keepNext/>
        <w:keepLines/>
        <w:spacing w:before="40" w:after="40"/>
        <w:rPr>
          <w:szCs w:val="24"/>
        </w:rPr>
      </w:pPr>
      <w:r>
        <w:rPr>
          <w:szCs w:val="24"/>
        </w:rPr>
        <w:t>Unearned</w:t>
      </w:r>
      <w:r w:rsidR="00B83A8C" w:rsidRPr="0099749D">
        <w:rPr>
          <w:szCs w:val="24"/>
        </w:rPr>
        <w:t xml:space="preserve"> Revenue should be reported for</w:t>
      </w:r>
      <w:r w:rsidR="00B83A8C" w:rsidRPr="0058150D">
        <w:rPr>
          <w:szCs w:val="24"/>
        </w:rPr>
        <w:t xml:space="preserve"> </w:t>
      </w:r>
      <w:r w:rsidR="00B83A8C">
        <w:rPr>
          <w:szCs w:val="24"/>
        </w:rPr>
        <w:t>c</w:t>
      </w:r>
      <w:r w:rsidR="00B83A8C" w:rsidRPr="0058150D">
        <w:rPr>
          <w:iCs/>
          <w:szCs w:val="24"/>
        </w:rPr>
        <w:t xml:space="preserve">harges for </w:t>
      </w:r>
      <w:r w:rsidR="002719C7">
        <w:rPr>
          <w:iCs/>
          <w:szCs w:val="24"/>
        </w:rPr>
        <w:t xml:space="preserve">goods </w:t>
      </w:r>
      <w:r w:rsidR="00B83A8C" w:rsidRPr="0058150D">
        <w:rPr>
          <w:iCs/>
          <w:szCs w:val="24"/>
        </w:rPr>
        <w:t xml:space="preserve">and/or </w:t>
      </w:r>
      <w:r w:rsidR="002719C7">
        <w:rPr>
          <w:iCs/>
          <w:szCs w:val="24"/>
        </w:rPr>
        <w:t>s</w:t>
      </w:r>
      <w:r w:rsidR="002719C7" w:rsidRPr="0058150D">
        <w:rPr>
          <w:iCs/>
          <w:szCs w:val="24"/>
        </w:rPr>
        <w:t xml:space="preserve">ervices </w:t>
      </w:r>
      <w:r w:rsidR="00B83A8C" w:rsidRPr="0099749D">
        <w:rPr>
          <w:szCs w:val="24"/>
        </w:rPr>
        <w:t xml:space="preserve">collected in advance of the earnings process. </w:t>
      </w:r>
    </w:p>
    <w:p w14:paraId="2FED808E" w14:textId="77777777" w:rsidR="00B83A8C" w:rsidRPr="0099749D" w:rsidRDefault="00B83A8C" w:rsidP="005C2F33">
      <w:pPr>
        <w:pStyle w:val="Bullet10"/>
        <w:numPr>
          <w:ilvl w:val="0"/>
          <w:numId w:val="17"/>
        </w:numPr>
        <w:tabs>
          <w:tab w:val="clear" w:pos="1860"/>
        </w:tabs>
        <w:spacing w:before="40"/>
        <w:ind w:left="720"/>
        <w:rPr>
          <w:szCs w:val="24"/>
        </w:rPr>
      </w:pPr>
      <w:r w:rsidRPr="0099749D">
        <w:rPr>
          <w:szCs w:val="24"/>
        </w:rPr>
        <w:t xml:space="preserve">Report </w:t>
      </w:r>
      <w:r w:rsidR="0044067C">
        <w:rPr>
          <w:szCs w:val="24"/>
        </w:rPr>
        <w:t>Unearned</w:t>
      </w:r>
      <w:r w:rsidRPr="0099749D">
        <w:rPr>
          <w:szCs w:val="24"/>
        </w:rPr>
        <w:t xml:space="preserve"> Revenue if </w:t>
      </w:r>
      <w:proofErr w:type="gramStart"/>
      <w:r w:rsidRPr="0099749D">
        <w:rPr>
          <w:szCs w:val="24"/>
        </w:rPr>
        <w:t>at</w:t>
      </w:r>
      <w:proofErr w:type="gramEnd"/>
      <w:r w:rsidRPr="0099749D">
        <w:rPr>
          <w:szCs w:val="24"/>
        </w:rPr>
        <w:t xml:space="preserve"> June 30 cash has been collected but revenue cannot yet be recognized.</w:t>
      </w:r>
    </w:p>
    <w:p w14:paraId="456992AA" w14:textId="77777777" w:rsidR="0012040B" w:rsidRDefault="002513F7" w:rsidP="003B02BA">
      <w:pPr>
        <w:pStyle w:val="Heading2"/>
      </w:pPr>
      <w:bookmarkStart w:id="232" w:name="_Toc166149255"/>
      <w:r w:rsidRPr="005D0457">
        <w:t>Section _.6 Inventory</w:t>
      </w:r>
      <w:bookmarkEnd w:id="227"/>
      <w:bookmarkEnd w:id="228"/>
      <w:bookmarkEnd w:id="229"/>
      <w:bookmarkEnd w:id="230"/>
      <w:bookmarkEnd w:id="231"/>
      <w:bookmarkEnd w:id="232"/>
    </w:p>
    <w:p w14:paraId="7E2C5DBE" w14:textId="77777777" w:rsidR="005D0457" w:rsidRPr="005D0457" w:rsidRDefault="00963EC6" w:rsidP="005D0457">
      <w:pPr>
        <w:spacing w:before="100" w:after="40" w:line="240" w:lineRule="exact"/>
        <w:rPr>
          <w:szCs w:val="24"/>
        </w:rPr>
      </w:pPr>
      <w:r>
        <w:rPr>
          <w:szCs w:val="24"/>
        </w:rPr>
        <w:t>Additional r</w:t>
      </w:r>
      <w:r w:rsidR="00D44527">
        <w:rPr>
          <w:szCs w:val="24"/>
        </w:rPr>
        <w:t>esources</w:t>
      </w:r>
      <w:r w:rsidR="005D0457" w:rsidRPr="005D0457">
        <w:rPr>
          <w:szCs w:val="24"/>
        </w:rPr>
        <w:t xml:space="preserve"> relating to inventory: </w:t>
      </w:r>
    </w:p>
    <w:p w14:paraId="07154800" w14:textId="77777777" w:rsidR="00D44527" w:rsidRDefault="005D0457" w:rsidP="005C2F33">
      <w:pPr>
        <w:pStyle w:val="Bullet10"/>
        <w:numPr>
          <w:ilvl w:val="0"/>
          <w:numId w:val="48"/>
        </w:numPr>
        <w:spacing w:before="40" w:after="40" w:line="240" w:lineRule="exact"/>
        <w:rPr>
          <w:szCs w:val="24"/>
        </w:rPr>
      </w:pPr>
      <w:r w:rsidRPr="005D0457">
        <w:rPr>
          <w:szCs w:val="24"/>
        </w:rPr>
        <w:t xml:space="preserve">Governmental Accounting Standards Board (GASB) </w:t>
      </w:r>
      <w:r w:rsidR="00D44527">
        <w:rPr>
          <w:szCs w:val="24"/>
        </w:rPr>
        <w:t>Statement No. 62 paragraphs 188-201.</w:t>
      </w:r>
    </w:p>
    <w:p w14:paraId="5677D2C8" w14:textId="77777777" w:rsidR="00D44527" w:rsidRDefault="00D44527" w:rsidP="005C2F33">
      <w:pPr>
        <w:pStyle w:val="Bullet10"/>
        <w:numPr>
          <w:ilvl w:val="0"/>
          <w:numId w:val="48"/>
        </w:numPr>
        <w:spacing w:before="40" w:after="40" w:line="240" w:lineRule="exact"/>
        <w:rPr>
          <w:szCs w:val="24"/>
        </w:rPr>
      </w:pPr>
      <w:r>
        <w:rPr>
          <w:szCs w:val="24"/>
        </w:rPr>
        <w:t>National Council on Governmental Accounting (NCGA) Statement No. 1 paragraph 73.</w:t>
      </w:r>
    </w:p>
    <w:p w14:paraId="4DDE37FE" w14:textId="77777777" w:rsidR="005D0457" w:rsidRDefault="00D44527" w:rsidP="005C2F33">
      <w:pPr>
        <w:pStyle w:val="Bullet10"/>
        <w:numPr>
          <w:ilvl w:val="0"/>
          <w:numId w:val="48"/>
        </w:numPr>
        <w:spacing w:before="40" w:after="40" w:line="240" w:lineRule="exact"/>
        <w:rPr>
          <w:szCs w:val="24"/>
        </w:rPr>
      </w:pPr>
      <w:r>
        <w:rPr>
          <w:szCs w:val="24"/>
        </w:rPr>
        <w:t xml:space="preserve">GASB </w:t>
      </w:r>
      <w:r w:rsidR="005D0457" w:rsidRPr="005D0457">
        <w:rPr>
          <w:szCs w:val="24"/>
        </w:rPr>
        <w:t>Codification Section 1600.127.</w:t>
      </w:r>
    </w:p>
    <w:p w14:paraId="6116F658" w14:textId="77777777" w:rsidR="005D0457" w:rsidRPr="000226E5" w:rsidRDefault="000226E5" w:rsidP="005C2F33">
      <w:pPr>
        <w:pStyle w:val="Bullet10"/>
        <w:numPr>
          <w:ilvl w:val="0"/>
          <w:numId w:val="48"/>
        </w:numPr>
        <w:spacing w:before="40" w:after="40" w:line="240" w:lineRule="exact"/>
        <w:rPr>
          <w:szCs w:val="24"/>
        </w:rPr>
      </w:pPr>
      <w:r w:rsidRPr="005D0457">
        <w:rPr>
          <w:szCs w:val="24"/>
        </w:rPr>
        <w:t>American Institute of Certified Public Accountants</w:t>
      </w:r>
      <w:r>
        <w:rPr>
          <w:szCs w:val="24"/>
        </w:rPr>
        <w:t xml:space="preserve"> (AICPA) Audit &amp; Accounting Guide State and Local Governments paragraphs 8.79 &amp; 8.80.</w:t>
      </w:r>
    </w:p>
    <w:p w14:paraId="48F57D76" w14:textId="77777777" w:rsidR="0042216D" w:rsidRPr="0042216D" w:rsidRDefault="0042216D" w:rsidP="004A7A0A">
      <w:pPr>
        <w:spacing w:before="100" w:after="100" w:line="240" w:lineRule="exact"/>
        <w:rPr>
          <w:szCs w:val="24"/>
        </w:rPr>
      </w:pPr>
      <w:r>
        <w:rPr>
          <w:szCs w:val="24"/>
        </w:rPr>
        <w:t xml:space="preserve">Report </w:t>
      </w:r>
      <w:r w:rsidR="005D0457" w:rsidRPr="005D0457">
        <w:rPr>
          <w:szCs w:val="24"/>
        </w:rPr>
        <w:t xml:space="preserve">the value of </w:t>
      </w:r>
      <w:r>
        <w:rPr>
          <w:szCs w:val="24"/>
        </w:rPr>
        <w:t xml:space="preserve">inventories on hand </w:t>
      </w:r>
      <w:r w:rsidR="00903A8E" w:rsidRPr="00903A8E">
        <w:rPr>
          <w:szCs w:val="24"/>
        </w:rPr>
        <w:t>as of the end of the fiscal year (June 30)</w:t>
      </w:r>
      <w:r w:rsidRPr="0042216D">
        <w:rPr>
          <w:szCs w:val="24"/>
        </w:rPr>
        <w:t>.</w:t>
      </w:r>
    </w:p>
    <w:p w14:paraId="0CDAFC80" w14:textId="77777777" w:rsidR="00106B55" w:rsidRDefault="00106B55" w:rsidP="00106B55">
      <w:pPr>
        <w:spacing w:before="100" w:after="100" w:line="240" w:lineRule="exact"/>
        <w:rPr>
          <w:szCs w:val="24"/>
        </w:rPr>
      </w:pPr>
      <w:r>
        <w:rPr>
          <w:szCs w:val="24"/>
        </w:rPr>
        <w:t>I</w:t>
      </w:r>
      <w:r w:rsidRPr="00106B55">
        <w:rPr>
          <w:szCs w:val="24"/>
        </w:rPr>
        <w:t>nventory excludes long-term assets subject to depreciation accounting, or goods that, when put into use, will be so classified. The fact that a</w:t>
      </w:r>
      <w:r>
        <w:rPr>
          <w:szCs w:val="24"/>
        </w:rPr>
        <w:t xml:space="preserve"> </w:t>
      </w:r>
      <w:r w:rsidRPr="00106B55">
        <w:rPr>
          <w:szCs w:val="24"/>
        </w:rPr>
        <w:t xml:space="preserve">depreciable asset is retired from regular use and held for sale does not indicate that the item should be classified as part of the inventory. </w:t>
      </w:r>
      <w:r w:rsidR="008979F6">
        <w:rPr>
          <w:szCs w:val="24"/>
        </w:rPr>
        <w:t xml:space="preserve"> Surplus property items are not inventory.  Usually, an agency sends items to the Surplus Property Office when the agency no longer has use for the item.  The fact that surplus property may be sold for nominal amounts does not change the treatment in the financial statements.</w:t>
      </w:r>
    </w:p>
    <w:p w14:paraId="48156BCD" w14:textId="77777777" w:rsidR="005D0457" w:rsidRPr="005D0457" w:rsidRDefault="005D0457" w:rsidP="00106B55">
      <w:pPr>
        <w:spacing w:before="100" w:after="100" w:line="240" w:lineRule="exact"/>
        <w:rPr>
          <w:szCs w:val="24"/>
        </w:rPr>
      </w:pPr>
      <w:r w:rsidRPr="005D0457">
        <w:rPr>
          <w:szCs w:val="24"/>
        </w:rPr>
        <w:t xml:space="preserve">In addition, it is the State's policy to report the value </w:t>
      </w:r>
      <w:r w:rsidR="002C3CE5">
        <w:rPr>
          <w:szCs w:val="24"/>
        </w:rPr>
        <w:t xml:space="preserve">of </w:t>
      </w:r>
      <w:r w:rsidRPr="005D0457">
        <w:rPr>
          <w:szCs w:val="24"/>
        </w:rPr>
        <w:t>United States Department of Agriculture food supplies</w:t>
      </w:r>
      <w:r w:rsidR="002C3CE5" w:rsidRPr="002C3CE5">
        <w:rPr>
          <w:szCs w:val="24"/>
        </w:rPr>
        <w:t xml:space="preserve"> </w:t>
      </w:r>
      <w:r w:rsidR="002C3CE5">
        <w:rPr>
          <w:szCs w:val="24"/>
        </w:rPr>
        <w:t>(</w:t>
      </w:r>
      <w:r w:rsidR="002C3CE5" w:rsidRPr="005D0457">
        <w:rPr>
          <w:szCs w:val="24"/>
        </w:rPr>
        <w:t>commodities</w:t>
      </w:r>
      <w:r w:rsidR="002C3CE5">
        <w:rPr>
          <w:szCs w:val="24"/>
        </w:rPr>
        <w:t>)</w:t>
      </w:r>
      <w:r w:rsidR="00963EC6">
        <w:rPr>
          <w:szCs w:val="24"/>
        </w:rPr>
        <w:t xml:space="preserve"> </w:t>
      </w:r>
      <w:r w:rsidR="002C3CE5">
        <w:rPr>
          <w:szCs w:val="24"/>
        </w:rPr>
        <w:t xml:space="preserve">on hand </w:t>
      </w:r>
      <w:r w:rsidR="002C3CE5" w:rsidRPr="00903A8E">
        <w:rPr>
          <w:szCs w:val="24"/>
        </w:rPr>
        <w:t>as of the end of the fiscal year</w:t>
      </w:r>
      <w:r w:rsidR="002C3CE5">
        <w:rPr>
          <w:szCs w:val="24"/>
        </w:rPr>
        <w:t xml:space="preserve"> </w:t>
      </w:r>
      <w:r w:rsidR="00963EC6">
        <w:rPr>
          <w:szCs w:val="24"/>
        </w:rPr>
        <w:t>as inventory</w:t>
      </w:r>
      <w:r w:rsidRPr="005D0457">
        <w:rPr>
          <w:szCs w:val="24"/>
        </w:rPr>
        <w:t xml:space="preserve">.  </w:t>
      </w:r>
    </w:p>
    <w:p w14:paraId="78D5853D" w14:textId="77777777" w:rsidR="00AE25D8" w:rsidRPr="00E844A5" w:rsidRDefault="00AE25D8" w:rsidP="00AE25D8">
      <w:pPr>
        <w:pStyle w:val="Heading3"/>
      </w:pPr>
      <w:bookmarkStart w:id="233" w:name="_Toc296021458"/>
      <w:bookmarkStart w:id="234" w:name="_Toc296021547"/>
      <w:bookmarkStart w:id="235" w:name="_Toc296235439"/>
      <w:bookmarkStart w:id="236" w:name="_Toc296235540"/>
      <w:bookmarkStart w:id="237" w:name="_Toc296247825"/>
      <w:bookmarkStart w:id="238" w:name="_Toc166149256"/>
      <w:r>
        <w:t>Perform a Physical Count of Inventory</w:t>
      </w:r>
      <w:bookmarkEnd w:id="233"/>
      <w:bookmarkEnd w:id="234"/>
      <w:bookmarkEnd w:id="235"/>
      <w:bookmarkEnd w:id="236"/>
      <w:bookmarkEnd w:id="237"/>
      <w:bookmarkEnd w:id="238"/>
      <w:r w:rsidRPr="005D0457">
        <w:t xml:space="preserve"> </w:t>
      </w:r>
    </w:p>
    <w:p w14:paraId="32657956" w14:textId="77777777" w:rsidR="005D0457" w:rsidRPr="005D0457" w:rsidRDefault="004965FF" w:rsidP="00AE25D8">
      <w:pPr>
        <w:pStyle w:val="Bullet10"/>
        <w:spacing w:before="40"/>
        <w:ind w:left="0" w:firstLine="0"/>
        <w:rPr>
          <w:szCs w:val="24"/>
        </w:rPr>
      </w:pPr>
      <w:r w:rsidRPr="004965FF">
        <w:rPr>
          <w:szCs w:val="24"/>
        </w:rPr>
        <w:t xml:space="preserve">State policy requires the performance of at least an annual physical count of inventory </w:t>
      </w:r>
      <w:r w:rsidR="007E65B9">
        <w:rPr>
          <w:szCs w:val="24"/>
        </w:rPr>
        <w:t xml:space="preserve">to be taken between April 1 and the end of the fiscal year </w:t>
      </w:r>
      <w:r w:rsidRPr="004965FF">
        <w:rPr>
          <w:szCs w:val="24"/>
        </w:rPr>
        <w:t xml:space="preserve">for accuracy of the year-end valuation.  </w:t>
      </w:r>
      <w:r w:rsidR="00C420AB">
        <w:rPr>
          <w:szCs w:val="24"/>
        </w:rPr>
        <w:t xml:space="preserve">Agencies must notify the State Auditor’s Office of inventory dates.  Please provide notification before the inventory is performed to allow state auditors to observe the process, if they determine it is necessary. </w:t>
      </w:r>
      <w:r w:rsidR="005F1BC4" w:rsidRPr="005D0457">
        <w:rPr>
          <w:szCs w:val="24"/>
        </w:rPr>
        <w:t xml:space="preserve">Value </w:t>
      </w:r>
      <w:r w:rsidR="00AE25D8" w:rsidRPr="005D0457">
        <w:rPr>
          <w:szCs w:val="24"/>
        </w:rPr>
        <w:t>obsolete</w:t>
      </w:r>
      <w:r w:rsidR="00AE25D8">
        <w:rPr>
          <w:szCs w:val="24"/>
        </w:rPr>
        <w:t>,</w:t>
      </w:r>
      <w:r w:rsidR="00AE25D8" w:rsidRPr="005D0457">
        <w:rPr>
          <w:szCs w:val="24"/>
        </w:rPr>
        <w:t xml:space="preserve"> damaged</w:t>
      </w:r>
      <w:r w:rsidR="00AE25D8">
        <w:rPr>
          <w:szCs w:val="24"/>
        </w:rPr>
        <w:t>, or unusable</w:t>
      </w:r>
      <w:r w:rsidR="00AE25D8" w:rsidRPr="005D0457">
        <w:rPr>
          <w:szCs w:val="24"/>
        </w:rPr>
        <w:t xml:space="preserve"> inventory items </w:t>
      </w:r>
      <w:r w:rsidR="005F1BC4" w:rsidRPr="005D0457">
        <w:rPr>
          <w:szCs w:val="24"/>
        </w:rPr>
        <w:t xml:space="preserve">at $0 or otherwise mark them down appropriately. </w:t>
      </w:r>
      <w:r w:rsidR="005D0457" w:rsidRPr="005D0457">
        <w:rPr>
          <w:szCs w:val="24"/>
        </w:rPr>
        <w:t xml:space="preserve">If the physical count was performed </w:t>
      </w:r>
      <w:r w:rsidR="005D0457" w:rsidRPr="005D0457">
        <w:rPr>
          <w:szCs w:val="24"/>
        </w:rPr>
        <w:lastRenderedPageBreak/>
        <w:t xml:space="preserve">prior to the end of the fiscal year, a reconciliation of the physical count to the </w:t>
      </w:r>
      <w:r w:rsidR="005F1BC4">
        <w:rPr>
          <w:szCs w:val="24"/>
        </w:rPr>
        <w:t>year-end inventory</w:t>
      </w:r>
      <w:r w:rsidR="005D0457" w:rsidRPr="005D0457">
        <w:rPr>
          <w:szCs w:val="24"/>
        </w:rPr>
        <w:t xml:space="preserve"> valuation is required.</w:t>
      </w:r>
      <w:r w:rsidR="00036B73">
        <w:rPr>
          <w:szCs w:val="24"/>
        </w:rPr>
        <w:t xml:space="preserve">  Refer to Part V Exhibits 3.6(A), 3.6(B), and 3.6(C) for sample instructions and inventory sheets. </w:t>
      </w:r>
    </w:p>
    <w:p w14:paraId="79EC9B99" w14:textId="77777777" w:rsidR="005D0457" w:rsidRDefault="005D0457" w:rsidP="005D0457">
      <w:pPr>
        <w:keepLines/>
        <w:rPr>
          <w:szCs w:val="24"/>
        </w:rPr>
      </w:pPr>
      <w:r w:rsidRPr="005D0457">
        <w:rPr>
          <w:szCs w:val="24"/>
        </w:rPr>
        <w:t>With</w:t>
      </w:r>
      <w:r w:rsidR="00874B9C">
        <w:rPr>
          <w:szCs w:val="24"/>
        </w:rPr>
        <w:t>in</w:t>
      </w:r>
      <w:r w:rsidRPr="005D0457">
        <w:rPr>
          <w:szCs w:val="24"/>
        </w:rPr>
        <w:t xml:space="preserve"> South Carolina Enterprise Information System (SCEIS), agenc</w:t>
      </w:r>
      <w:r w:rsidR="00F03C0A">
        <w:rPr>
          <w:szCs w:val="24"/>
        </w:rPr>
        <w:t>ies</w:t>
      </w:r>
      <w:r w:rsidRPr="005D0457">
        <w:rPr>
          <w:szCs w:val="24"/>
        </w:rPr>
        <w:t xml:space="preserve"> </w:t>
      </w:r>
      <w:proofErr w:type="gramStart"/>
      <w:r w:rsidR="00F03C0A">
        <w:rPr>
          <w:szCs w:val="24"/>
        </w:rPr>
        <w:t>have</w:t>
      </w:r>
      <w:r w:rsidRPr="005D0457">
        <w:rPr>
          <w:szCs w:val="24"/>
        </w:rPr>
        <w:t xml:space="preserve"> the ability to</w:t>
      </w:r>
      <w:proofErr w:type="gramEnd"/>
      <w:r w:rsidRPr="005D0457">
        <w:rPr>
          <w:szCs w:val="24"/>
        </w:rPr>
        <w:t xml:space="preserve"> record and report the inventory value in </w:t>
      </w:r>
      <w:r w:rsidR="007E65B9">
        <w:rPr>
          <w:szCs w:val="24"/>
        </w:rPr>
        <w:t>the SCEIS general ledger</w:t>
      </w:r>
      <w:r w:rsidRPr="005D0457">
        <w:rPr>
          <w:szCs w:val="24"/>
        </w:rPr>
        <w:t xml:space="preserve">.  </w:t>
      </w:r>
      <w:r w:rsidR="00F4186A">
        <w:rPr>
          <w:szCs w:val="24"/>
        </w:rPr>
        <w:t xml:space="preserve">A SCEIS Inventory report will be provided </w:t>
      </w:r>
      <w:r w:rsidR="00F03C0A">
        <w:rPr>
          <w:szCs w:val="24"/>
        </w:rPr>
        <w:t xml:space="preserve">and </w:t>
      </w:r>
      <w:r w:rsidR="00F03C0A" w:rsidRPr="00F03C0A">
        <w:rPr>
          <w:szCs w:val="24"/>
        </w:rPr>
        <w:t>the amount from the report should be</w:t>
      </w:r>
      <w:r w:rsidR="00F03C0A" w:rsidRPr="00F03C0A">
        <w:t xml:space="preserve"> </w:t>
      </w:r>
      <w:r w:rsidR="00F03C0A" w:rsidRPr="00F03C0A">
        <w:rPr>
          <w:szCs w:val="24"/>
        </w:rPr>
        <w:t>adjusted to actual inventory</w:t>
      </w:r>
      <w:r w:rsidR="00F03C0A">
        <w:rPr>
          <w:szCs w:val="24"/>
        </w:rPr>
        <w:t xml:space="preserve"> on the closing package</w:t>
      </w:r>
      <w:r w:rsidR="00F03C0A" w:rsidRPr="00F03C0A">
        <w:rPr>
          <w:szCs w:val="24"/>
        </w:rPr>
        <w:t>.</w:t>
      </w:r>
    </w:p>
    <w:p w14:paraId="051A481A" w14:textId="77777777" w:rsidR="00743B15" w:rsidRPr="005D0457" w:rsidRDefault="00743B15" w:rsidP="00743B15"/>
    <w:p w14:paraId="5C4CC950" w14:textId="77777777" w:rsidR="0012040B" w:rsidRDefault="002513F7" w:rsidP="003B02BA">
      <w:pPr>
        <w:pStyle w:val="Heading2"/>
      </w:pPr>
      <w:bookmarkStart w:id="239" w:name="_Toc296021463"/>
      <w:bookmarkStart w:id="240" w:name="_Toc296021552"/>
      <w:bookmarkStart w:id="241" w:name="_Toc296235444"/>
      <w:bookmarkStart w:id="242" w:name="_Toc296235545"/>
      <w:bookmarkStart w:id="243" w:name="_Toc296247828"/>
      <w:bookmarkStart w:id="244" w:name="_Toc166149257"/>
      <w:bookmarkStart w:id="245" w:name="_Hlk156470810"/>
      <w:r>
        <w:t xml:space="preserve">Section _.7 </w:t>
      </w:r>
      <w:bookmarkEnd w:id="239"/>
      <w:bookmarkEnd w:id="240"/>
      <w:bookmarkEnd w:id="241"/>
      <w:bookmarkEnd w:id="242"/>
      <w:bookmarkEnd w:id="243"/>
      <w:r w:rsidR="005577F2">
        <w:t>Prepaid Expenses</w:t>
      </w:r>
      <w:bookmarkEnd w:id="244"/>
    </w:p>
    <w:p w14:paraId="436895ED" w14:textId="2A664B91" w:rsidR="00506D4F" w:rsidRDefault="00666BEC">
      <w:pPr>
        <w:pStyle w:val="Bullet10"/>
        <w:spacing w:before="40"/>
        <w:ind w:left="0" w:firstLine="0"/>
        <w:rPr>
          <w:szCs w:val="24"/>
        </w:rPr>
      </w:pPr>
      <w:bookmarkStart w:id="246" w:name="_Toc296021464"/>
      <w:bookmarkStart w:id="247" w:name="_Toc296021553"/>
      <w:r>
        <w:rPr>
          <w:szCs w:val="24"/>
        </w:rPr>
        <w:t xml:space="preserve">GAAP allows the recognition of prepaid expenses under the </w:t>
      </w:r>
      <w:proofErr w:type="gramStart"/>
      <w:r>
        <w:rPr>
          <w:szCs w:val="24"/>
        </w:rPr>
        <w:t>purchases</w:t>
      </w:r>
      <w:proofErr w:type="gramEnd"/>
      <w:r>
        <w:rPr>
          <w:szCs w:val="24"/>
        </w:rPr>
        <w:t xml:space="preserve"> method or the consumption method.  The </w:t>
      </w:r>
      <w:r w:rsidR="004965FF" w:rsidRPr="004965FF">
        <w:rPr>
          <w:szCs w:val="24"/>
        </w:rPr>
        <w:t xml:space="preserve">State </w:t>
      </w:r>
      <w:r>
        <w:rPr>
          <w:szCs w:val="24"/>
        </w:rPr>
        <w:t>of South Carolina has elected the consumption method recognizing that the prepayment of expenses allows a government to avoid a near-term outlay of financial resource thus creating a financial resource.</w:t>
      </w:r>
      <w:r w:rsidR="005C2FA8">
        <w:rPr>
          <w:szCs w:val="24"/>
        </w:rPr>
        <w:t xml:space="preserve"> </w:t>
      </w:r>
      <w:r>
        <w:rPr>
          <w:szCs w:val="24"/>
        </w:rPr>
        <w:t xml:space="preserve">Prepaid expenses should be identified and reported by </w:t>
      </w:r>
      <w:r w:rsidR="007E65B9">
        <w:rPr>
          <w:szCs w:val="24"/>
        </w:rPr>
        <w:t xml:space="preserve">State </w:t>
      </w:r>
      <w:r>
        <w:rPr>
          <w:szCs w:val="24"/>
        </w:rPr>
        <w:t xml:space="preserve">agencies in accordance with the State’s election and </w:t>
      </w:r>
      <w:r w:rsidR="004965FF" w:rsidRPr="004965FF">
        <w:rPr>
          <w:szCs w:val="24"/>
        </w:rPr>
        <w:t>policy</w:t>
      </w:r>
      <w:r>
        <w:rPr>
          <w:szCs w:val="24"/>
        </w:rPr>
        <w:t>.</w:t>
      </w:r>
    </w:p>
    <w:p w14:paraId="3E2FF742" w14:textId="2EF134B7" w:rsidR="00E011AC" w:rsidRDefault="00666BEC">
      <w:pPr>
        <w:pStyle w:val="Bullet10"/>
        <w:spacing w:before="40"/>
        <w:ind w:left="0" w:firstLine="0"/>
        <w:rPr>
          <w:szCs w:val="24"/>
        </w:rPr>
      </w:pPr>
      <w:r>
        <w:rPr>
          <w:szCs w:val="24"/>
        </w:rPr>
        <w:t>The consumption method for expenditures recognizes the expenditure over the period benefited by the outlay of cash.  Because the recognition is triggered by an outlay of cash, a prepaid expense should only be recognized after payment is made to the vendor.</w:t>
      </w:r>
      <w:r w:rsidR="00557166">
        <w:rPr>
          <w:szCs w:val="24"/>
        </w:rPr>
        <w:t xml:space="preserve"> </w:t>
      </w:r>
      <w:r w:rsidR="00DB1B02" w:rsidRPr="00DB1B02">
        <w:rPr>
          <w:szCs w:val="24"/>
        </w:rPr>
        <w:t xml:space="preserve">Common types of prepaid expenses include </w:t>
      </w:r>
      <w:r w:rsidR="00FA5D89">
        <w:rPr>
          <w:szCs w:val="24"/>
        </w:rPr>
        <w:t xml:space="preserve">short-term </w:t>
      </w:r>
      <w:r w:rsidR="00DB1B02" w:rsidRPr="00DB1B02">
        <w:rPr>
          <w:szCs w:val="24"/>
        </w:rPr>
        <w:t>rent,</w:t>
      </w:r>
      <w:r w:rsidR="00FA5D89">
        <w:rPr>
          <w:szCs w:val="24"/>
        </w:rPr>
        <w:t xml:space="preserve"> </w:t>
      </w:r>
      <w:r w:rsidR="00DB1B02" w:rsidRPr="00DB1B02">
        <w:rPr>
          <w:szCs w:val="24"/>
        </w:rPr>
        <w:t xml:space="preserve">subscriptions, maintenance contracts, software support contracts, professional association memberships, and postage </w:t>
      </w:r>
      <w:r w:rsidR="00FA5D89">
        <w:rPr>
          <w:szCs w:val="24"/>
        </w:rPr>
        <w:t>for which</w:t>
      </w:r>
      <w:r w:rsidR="00DB1B02">
        <w:rPr>
          <w:szCs w:val="24"/>
        </w:rPr>
        <w:t xml:space="preserve"> the</w:t>
      </w:r>
      <w:r w:rsidR="00DB1B02" w:rsidRPr="00DB1B02">
        <w:rPr>
          <w:szCs w:val="24"/>
        </w:rPr>
        <w:t xml:space="preserve"> period</w:t>
      </w:r>
      <w:r w:rsidR="00DB1B02">
        <w:rPr>
          <w:szCs w:val="24"/>
        </w:rPr>
        <w:t xml:space="preserve"> of benefit</w:t>
      </w:r>
      <w:r w:rsidR="00DB1B02" w:rsidRPr="00DB1B02">
        <w:rPr>
          <w:szCs w:val="24"/>
        </w:rPr>
        <w:t xml:space="preserve"> extends beyond June 30 of the current fiscal year </w:t>
      </w:r>
      <w:r w:rsidR="005C2FA8">
        <w:rPr>
          <w:szCs w:val="24"/>
        </w:rPr>
        <w:t>but</w:t>
      </w:r>
      <w:r w:rsidR="00DB1B02" w:rsidRPr="00DB1B02">
        <w:rPr>
          <w:szCs w:val="24"/>
        </w:rPr>
        <w:t xml:space="preserve"> were paid f</w:t>
      </w:r>
      <w:r w:rsidR="00DB1B02">
        <w:rPr>
          <w:szCs w:val="24"/>
        </w:rPr>
        <w:t xml:space="preserve">or in the current fiscal year. </w:t>
      </w:r>
      <w:r w:rsidR="00E16775">
        <w:rPr>
          <w:szCs w:val="24"/>
        </w:rPr>
        <w:t>In many cases the</w:t>
      </w:r>
      <w:r>
        <w:rPr>
          <w:szCs w:val="24"/>
        </w:rPr>
        <w:t xml:space="preserve"> period of benefit is defined by the terms of the transaction</w:t>
      </w:r>
      <w:r w:rsidR="009E00C4">
        <w:rPr>
          <w:szCs w:val="24"/>
        </w:rPr>
        <w:t>.</w:t>
      </w:r>
      <w:r>
        <w:rPr>
          <w:szCs w:val="24"/>
        </w:rPr>
        <w:t xml:space="preserve"> </w:t>
      </w:r>
      <w:r w:rsidR="009E00C4">
        <w:rPr>
          <w:szCs w:val="24"/>
        </w:rPr>
        <w:t>F</w:t>
      </w:r>
      <w:r>
        <w:rPr>
          <w:szCs w:val="24"/>
        </w:rPr>
        <w:t>or example</w:t>
      </w:r>
      <w:r w:rsidR="009E00C4">
        <w:rPr>
          <w:szCs w:val="24"/>
        </w:rPr>
        <w:t>,</w:t>
      </w:r>
      <w:r>
        <w:rPr>
          <w:szCs w:val="24"/>
        </w:rPr>
        <w:t xml:space="preserve"> a maintenance contract </w:t>
      </w:r>
      <w:r w:rsidR="00FA5D89">
        <w:rPr>
          <w:szCs w:val="24"/>
        </w:rPr>
        <w:t>is</w:t>
      </w:r>
      <w:r>
        <w:rPr>
          <w:szCs w:val="24"/>
        </w:rPr>
        <w:t xml:space="preserve"> effective from </w:t>
      </w:r>
      <w:r w:rsidR="00FA5D89">
        <w:rPr>
          <w:szCs w:val="24"/>
        </w:rPr>
        <w:t>June</w:t>
      </w:r>
      <w:r>
        <w:rPr>
          <w:szCs w:val="24"/>
        </w:rPr>
        <w:t xml:space="preserve"> 1 to </w:t>
      </w:r>
      <w:r w:rsidR="00FA5D89">
        <w:rPr>
          <w:szCs w:val="24"/>
        </w:rPr>
        <w:t xml:space="preserve">December </w:t>
      </w:r>
      <w:r>
        <w:rPr>
          <w:szCs w:val="24"/>
        </w:rPr>
        <w:t>31</w:t>
      </w:r>
      <w:r w:rsidR="00FA5D89">
        <w:rPr>
          <w:szCs w:val="24"/>
        </w:rPr>
        <w:t>, which</w:t>
      </w:r>
      <w:r>
        <w:rPr>
          <w:szCs w:val="24"/>
        </w:rPr>
        <w:t xml:space="preserve"> would be the period of benefit.</w:t>
      </w:r>
      <w:r w:rsidR="00FA5D89">
        <w:rPr>
          <w:szCs w:val="24"/>
        </w:rPr>
        <w:t xml:space="preserve"> </w:t>
      </w:r>
      <w:r>
        <w:rPr>
          <w:szCs w:val="24"/>
        </w:rPr>
        <w:t xml:space="preserve">Since this period of benefit crosses the fiscal year end, a prepaid expense </w:t>
      </w:r>
      <w:r w:rsidR="00E16775">
        <w:rPr>
          <w:szCs w:val="24"/>
        </w:rPr>
        <w:t>may arise from this</w:t>
      </w:r>
      <w:r>
        <w:rPr>
          <w:szCs w:val="24"/>
        </w:rPr>
        <w:t xml:space="preserve"> transaction.</w:t>
      </w:r>
      <w:r w:rsidR="009E00C4">
        <w:rPr>
          <w:szCs w:val="24"/>
        </w:rPr>
        <w:t xml:space="preserve"> </w:t>
      </w:r>
    </w:p>
    <w:p w14:paraId="767AFCB2" w14:textId="77777777" w:rsidR="003D2BD8" w:rsidRPr="001A3D9E" w:rsidRDefault="003D2BD8" w:rsidP="003D2BD8">
      <w:pPr>
        <w:pStyle w:val="Heading3"/>
      </w:pPr>
      <w:bookmarkStart w:id="248" w:name="_Toc166149258"/>
      <w:r w:rsidRPr="001A3D9E">
        <w:t xml:space="preserve">Identification </w:t>
      </w:r>
      <w:r>
        <w:t>and Recognition o</w:t>
      </w:r>
      <w:r w:rsidRPr="001A3D9E">
        <w:t xml:space="preserve">f </w:t>
      </w:r>
      <w:r>
        <w:t>Prepaid Expenses</w:t>
      </w:r>
      <w:bookmarkEnd w:id="248"/>
    </w:p>
    <w:p w14:paraId="37D0A839" w14:textId="44AC2A27" w:rsidR="00FA5D89" w:rsidRDefault="003D2BD8" w:rsidP="00557166">
      <w:pPr>
        <w:pStyle w:val="Bullet10"/>
        <w:spacing w:before="80"/>
        <w:ind w:left="0" w:firstLine="0"/>
        <w:rPr>
          <w:szCs w:val="24"/>
        </w:rPr>
      </w:pPr>
      <w:r w:rsidRPr="001A3D9E">
        <w:rPr>
          <w:szCs w:val="24"/>
        </w:rPr>
        <w:t>Agency Directors and finance personnel are responsible for designing daily operational processes and procedures for recording transactions in the agency</w:t>
      </w:r>
      <w:r>
        <w:rPr>
          <w:szCs w:val="24"/>
        </w:rPr>
        <w:t>’s</w:t>
      </w:r>
      <w:r w:rsidRPr="001A3D9E">
        <w:rPr>
          <w:szCs w:val="24"/>
        </w:rPr>
        <w:t xml:space="preserve"> </w:t>
      </w:r>
      <w:r>
        <w:rPr>
          <w:szCs w:val="24"/>
        </w:rPr>
        <w:t>accounting system</w:t>
      </w:r>
      <w:r w:rsidRPr="001A3D9E">
        <w:rPr>
          <w:szCs w:val="24"/>
        </w:rPr>
        <w:t xml:space="preserve">. </w:t>
      </w:r>
      <w:r w:rsidR="00FA5D89">
        <w:rPr>
          <w:szCs w:val="24"/>
        </w:rPr>
        <w:t xml:space="preserve"> </w:t>
      </w:r>
      <w:r w:rsidRPr="001A3D9E">
        <w:rPr>
          <w:szCs w:val="24"/>
        </w:rPr>
        <w:t xml:space="preserve">Agency finance personnel who deal with the daily transactions of the operation are in the best position to identify all known and anticipated </w:t>
      </w:r>
      <w:r>
        <w:rPr>
          <w:szCs w:val="24"/>
        </w:rPr>
        <w:t>prepaid expenses</w:t>
      </w:r>
      <w:r w:rsidRPr="001A3D9E">
        <w:rPr>
          <w:szCs w:val="24"/>
        </w:rPr>
        <w:t xml:space="preserve"> as of year-end.  As a best practice and to support effective internal controls, a </w:t>
      </w:r>
      <w:r>
        <w:rPr>
          <w:szCs w:val="24"/>
        </w:rPr>
        <w:t xml:space="preserve">person who </w:t>
      </w:r>
      <w:r w:rsidRPr="001A3D9E">
        <w:rPr>
          <w:szCs w:val="24"/>
        </w:rPr>
        <w:t>super</w:t>
      </w:r>
      <w:r>
        <w:rPr>
          <w:szCs w:val="24"/>
        </w:rPr>
        <w:t>v</w:t>
      </w:r>
      <w:r w:rsidRPr="001A3D9E">
        <w:rPr>
          <w:szCs w:val="24"/>
        </w:rPr>
        <w:t>i</w:t>
      </w:r>
      <w:r>
        <w:rPr>
          <w:szCs w:val="24"/>
        </w:rPr>
        <w:t>ses</w:t>
      </w:r>
      <w:r w:rsidRPr="001A3D9E">
        <w:rPr>
          <w:szCs w:val="24"/>
        </w:rPr>
        <w:t xml:space="preserve"> the person identifying the </w:t>
      </w:r>
      <w:r>
        <w:rPr>
          <w:szCs w:val="24"/>
        </w:rPr>
        <w:t>prepaid transactions</w:t>
      </w:r>
      <w:r w:rsidRPr="001A3D9E">
        <w:rPr>
          <w:szCs w:val="24"/>
        </w:rPr>
        <w:t xml:space="preserve"> should review the information for completeness and accuracy.</w:t>
      </w:r>
    </w:p>
    <w:p w14:paraId="34A63BE5" w14:textId="5007017B" w:rsidR="00914D43" w:rsidRDefault="00495AAB" w:rsidP="00E832A0">
      <w:pPr>
        <w:pStyle w:val="Bullet10"/>
        <w:spacing w:before="0" w:after="0"/>
        <w:ind w:left="0" w:firstLine="0"/>
        <w:rPr>
          <w:szCs w:val="24"/>
        </w:rPr>
      </w:pPr>
      <w:r>
        <w:rPr>
          <w:szCs w:val="24"/>
        </w:rPr>
        <w:t>S</w:t>
      </w:r>
      <w:r w:rsidRPr="00495AAB">
        <w:rPr>
          <w:szCs w:val="24"/>
        </w:rPr>
        <w:t xml:space="preserve">uggested </w:t>
      </w:r>
      <w:r w:rsidR="00E832A0">
        <w:rPr>
          <w:szCs w:val="24"/>
        </w:rPr>
        <w:t>m</w:t>
      </w:r>
      <w:r w:rsidR="00666BEC">
        <w:rPr>
          <w:szCs w:val="24"/>
        </w:rPr>
        <w:t>ethods to identify and accumulate information from prepaid transactions:</w:t>
      </w:r>
    </w:p>
    <w:p w14:paraId="685495FB" w14:textId="1E7A83E9" w:rsidR="00CA3558" w:rsidRPr="00CA3558" w:rsidRDefault="003828EA" w:rsidP="005C2F33">
      <w:pPr>
        <w:pStyle w:val="ListParagraph"/>
        <w:numPr>
          <w:ilvl w:val="0"/>
          <w:numId w:val="47"/>
        </w:numPr>
        <w:rPr>
          <w:szCs w:val="24"/>
        </w:rPr>
      </w:pPr>
      <w:r>
        <w:rPr>
          <w:szCs w:val="24"/>
        </w:rPr>
        <w:t>W</w:t>
      </w:r>
      <w:r w:rsidRPr="003828EA">
        <w:rPr>
          <w:szCs w:val="24"/>
        </w:rPr>
        <w:t>hen processing invoices for</w:t>
      </w:r>
      <w:r>
        <w:rPr>
          <w:szCs w:val="24"/>
        </w:rPr>
        <w:t xml:space="preserve"> payment </w:t>
      </w:r>
      <w:r w:rsidRPr="003828EA">
        <w:rPr>
          <w:szCs w:val="24"/>
        </w:rPr>
        <w:t xml:space="preserve">through SCEIS </w:t>
      </w:r>
      <w:r>
        <w:rPr>
          <w:szCs w:val="24"/>
        </w:rPr>
        <w:t>i</w:t>
      </w:r>
      <w:r w:rsidRPr="003828EA">
        <w:rPr>
          <w:szCs w:val="24"/>
        </w:rPr>
        <w:t xml:space="preserve">ndicate “PREPAID” in the </w:t>
      </w:r>
      <w:r w:rsidR="00F03C0A">
        <w:rPr>
          <w:szCs w:val="24"/>
        </w:rPr>
        <w:t>h</w:t>
      </w:r>
      <w:r w:rsidRPr="003828EA">
        <w:rPr>
          <w:szCs w:val="24"/>
        </w:rPr>
        <w:t xml:space="preserve">eader </w:t>
      </w:r>
      <w:r w:rsidR="00F03C0A">
        <w:rPr>
          <w:szCs w:val="24"/>
        </w:rPr>
        <w:t>t</w:t>
      </w:r>
      <w:r w:rsidRPr="003828EA">
        <w:rPr>
          <w:szCs w:val="24"/>
        </w:rPr>
        <w:t>ext of the transaction</w:t>
      </w:r>
      <w:r w:rsidRPr="003828EA">
        <w:t xml:space="preserve"> </w:t>
      </w:r>
      <w:r>
        <w:rPr>
          <w:szCs w:val="24"/>
        </w:rPr>
        <w:t>when the</w:t>
      </w:r>
      <w:r w:rsidRPr="003828EA">
        <w:rPr>
          <w:szCs w:val="24"/>
        </w:rPr>
        <w:t xml:space="preserve"> usage period</w:t>
      </w:r>
      <w:r w:rsidRPr="003828EA">
        <w:t xml:space="preserve"> </w:t>
      </w:r>
      <w:r w:rsidRPr="003828EA">
        <w:rPr>
          <w:szCs w:val="24"/>
        </w:rPr>
        <w:t xml:space="preserve">extends beyond June 30 of the current fiscal year.  Please note that with this option modifying the beginning of the phrase will not generate report information accurately. Additional details may be added to the end of the phrase only. </w:t>
      </w:r>
      <w:r>
        <w:rPr>
          <w:szCs w:val="24"/>
        </w:rPr>
        <w:t>Some agencies add the dates to the header text (</w:t>
      </w:r>
      <w:r w:rsidR="00557166">
        <w:rPr>
          <w:szCs w:val="24"/>
        </w:rPr>
        <w:t>e.g.,</w:t>
      </w:r>
      <w:r>
        <w:rPr>
          <w:szCs w:val="24"/>
        </w:rPr>
        <w:t xml:space="preserve"> </w:t>
      </w:r>
      <w:r w:rsidRPr="003828EA">
        <w:rPr>
          <w:szCs w:val="24"/>
        </w:rPr>
        <w:t>“PREPAID EXPENDITURE-</w:t>
      </w:r>
      <w:r w:rsidR="00F57DB9">
        <w:rPr>
          <w:szCs w:val="24"/>
        </w:rPr>
        <w:t>9</w:t>
      </w:r>
      <w:r w:rsidRPr="003828EA">
        <w:rPr>
          <w:szCs w:val="24"/>
        </w:rPr>
        <w:t>/01/</w:t>
      </w:r>
      <w:r w:rsidR="00B87064">
        <w:rPr>
          <w:szCs w:val="24"/>
        </w:rPr>
        <w:t>XX</w:t>
      </w:r>
      <w:r w:rsidRPr="003828EA">
        <w:rPr>
          <w:szCs w:val="24"/>
        </w:rPr>
        <w:t>-</w:t>
      </w:r>
      <w:r w:rsidR="00F57DB9">
        <w:rPr>
          <w:szCs w:val="24"/>
        </w:rPr>
        <w:t>8</w:t>
      </w:r>
      <w:r w:rsidRPr="003828EA">
        <w:rPr>
          <w:szCs w:val="24"/>
        </w:rPr>
        <w:t>/31/</w:t>
      </w:r>
      <w:r w:rsidR="00B87064">
        <w:rPr>
          <w:szCs w:val="24"/>
        </w:rPr>
        <w:t>XX</w:t>
      </w:r>
      <w:r w:rsidRPr="003828EA">
        <w:rPr>
          <w:szCs w:val="24"/>
        </w:rPr>
        <w:t>”</w:t>
      </w:r>
      <w:r>
        <w:rPr>
          <w:szCs w:val="24"/>
        </w:rPr>
        <w:t>)</w:t>
      </w:r>
      <w:r w:rsidR="009A53FA">
        <w:rPr>
          <w:szCs w:val="24"/>
        </w:rPr>
        <w:t xml:space="preserve"> or use text to indicate that only part of the amount relates to prepaid transactions</w:t>
      </w:r>
      <w:r>
        <w:rPr>
          <w:szCs w:val="24"/>
        </w:rPr>
        <w:t xml:space="preserve">. </w:t>
      </w:r>
      <w:r w:rsidR="005C2FA8">
        <w:rPr>
          <w:szCs w:val="24"/>
        </w:rPr>
        <w:t>Two</w:t>
      </w:r>
      <w:r w:rsidRPr="003828EA">
        <w:rPr>
          <w:szCs w:val="24"/>
        </w:rPr>
        <w:t xml:space="preserve"> Yearend </w:t>
      </w:r>
      <w:proofErr w:type="spellStart"/>
      <w:r w:rsidRPr="003828EA">
        <w:rPr>
          <w:szCs w:val="24"/>
        </w:rPr>
        <w:t>Rptg</w:t>
      </w:r>
      <w:proofErr w:type="spellEnd"/>
      <w:r w:rsidRPr="003828EA">
        <w:rPr>
          <w:szCs w:val="24"/>
        </w:rPr>
        <w:t xml:space="preserve"> </w:t>
      </w:r>
      <w:r>
        <w:rPr>
          <w:szCs w:val="24"/>
        </w:rPr>
        <w:t>–</w:t>
      </w:r>
      <w:r w:rsidRPr="003828EA">
        <w:rPr>
          <w:szCs w:val="24"/>
        </w:rPr>
        <w:t xml:space="preserve"> </w:t>
      </w:r>
      <w:r>
        <w:rPr>
          <w:szCs w:val="24"/>
        </w:rPr>
        <w:t>Prepaid Expenditures</w:t>
      </w:r>
      <w:r w:rsidRPr="003828EA">
        <w:rPr>
          <w:szCs w:val="24"/>
        </w:rPr>
        <w:t xml:space="preserve"> </w:t>
      </w:r>
      <w:r w:rsidR="005C2FA8">
        <w:rPr>
          <w:szCs w:val="24"/>
        </w:rPr>
        <w:t xml:space="preserve">Business Warehouse </w:t>
      </w:r>
      <w:r w:rsidRPr="003828EA">
        <w:rPr>
          <w:szCs w:val="24"/>
        </w:rPr>
        <w:t>report</w:t>
      </w:r>
      <w:r w:rsidR="005C2FA8">
        <w:rPr>
          <w:szCs w:val="24"/>
        </w:rPr>
        <w:t>s will be emailed</w:t>
      </w:r>
      <w:r w:rsidRPr="003828EA">
        <w:rPr>
          <w:szCs w:val="24"/>
        </w:rPr>
        <w:t xml:space="preserve"> </w:t>
      </w:r>
      <w:r w:rsidR="00F57DB9">
        <w:rPr>
          <w:szCs w:val="24"/>
        </w:rPr>
        <w:t>in mid</w:t>
      </w:r>
      <w:r w:rsidR="00F57DB9" w:rsidRPr="003828EA">
        <w:rPr>
          <w:szCs w:val="24"/>
        </w:rPr>
        <w:t>-</w:t>
      </w:r>
      <w:r w:rsidR="00F57DB9">
        <w:rPr>
          <w:szCs w:val="24"/>
        </w:rPr>
        <w:t>August</w:t>
      </w:r>
      <w:r w:rsidRPr="003828EA">
        <w:rPr>
          <w:szCs w:val="24"/>
        </w:rPr>
        <w:t xml:space="preserve"> to assist your agency in completing this reporting package.</w:t>
      </w:r>
      <w:r w:rsidR="00CA3558">
        <w:rPr>
          <w:szCs w:val="24"/>
        </w:rPr>
        <w:t xml:space="preserve">  The report is for the current fiscal year (</w:t>
      </w:r>
      <w:r w:rsidR="00557166">
        <w:rPr>
          <w:szCs w:val="24"/>
        </w:rPr>
        <w:t>i.e.,</w:t>
      </w:r>
      <w:r w:rsidR="00CA3558">
        <w:rPr>
          <w:szCs w:val="24"/>
        </w:rPr>
        <w:t xml:space="preserve"> the year just ended)</w:t>
      </w:r>
      <w:r w:rsidR="005C2FA8">
        <w:rPr>
          <w:szCs w:val="24"/>
        </w:rPr>
        <w:t xml:space="preserve">. </w:t>
      </w:r>
      <w:r w:rsidR="00495AAB">
        <w:rPr>
          <w:szCs w:val="24"/>
        </w:rPr>
        <w:t xml:space="preserve">Please note that the </w:t>
      </w:r>
      <w:r w:rsidR="00495AAB" w:rsidRPr="00495AAB">
        <w:rPr>
          <w:szCs w:val="24"/>
        </w:rPr>
        <w:t xml:space="preserve">entire amount </w:t>
      </w:r>
      <w:r w:rsidR="005C2FA8">
        <w:rPr>
          <w:szCs w:val="24"/>
        </w:rPr>
        <w:t>may not be</w:t>
      </w:r>
      <w:r w:rsidR="00495AAB" w:rsidRPr="00495AAB">
        <w:rPr>
          <w:szCs w:val="24"/>
        </w:rPr>
        <w:t xml:space="preserve"> all prepaid</w:t>
      </w:r>
      <w:r w:rsidR="00495AAB">
        <w:rPr>
          <w:szCs w:val="24"/>
        </w:rPr>
        <w:t xml:space="preserve"> and additional calculations </w:t>
      </w:r>
      <w:r w:rsidR="005C2FA8">
        <w:rPr>
          <w:szCs w:val="24"/>
        </w:rPr>
        <w:t>may be</w:t>
      </w:r>
      <w:r w:rsidR="00495AAB">
        <w:rPr>
          <w:szCs w:val="24"/>
        </w:rPr>
        <w:t xml:space="preserve"> needed </w:t>
      </w:r>
      <w:r w:rsidR="00495AAB">
        <w:rPr>
          <w:szCs w:val="24"/>
        </w:rPr>
        <w:lastRenderedPageBreak/>
        <w:t>to properly complete the reporting package.</w:t>
      </w:r>
      <w:r w:rsidR="005C2FA8">
        <w:rPr>
          <w:szCs w:val="24"/>
        </w:rPr>
        <w:t xml:space="preserve"> </w:t>
      </w:r>
      <w:r w:rsidR="00F03C0A" w:rsidRPr="00F03C0A">
        <w:t>The report provided is based on the header text; actual prepaid expenses should be reported on this package regardless of what appears on the report.</w:t>
      </w:r>
      <w:r w:rsidR="005C2FA8">
        <w:t xml:space="preserve"> </w:t>
      </w:r>
      <w:r w:rsidR="005C2FA8">
        <w:rPr>
          <w:szCs w:val="24"/>
        </w:rPr>
        <w:t>The report is only a tool</w:t>
      </w:r>
      <w:r w:rsidR="00557166">
        <w:rPr>
          <w:szCs w:val="24"/>
        </w:rPr>
        <w:t>;</w:t>
      </w:r>
      <w:r w:rsidR="005C2FA8">
        <w:rPr>
          <w:szCs w:val="24"/>
        </w:rPr>
        <w:t xml:space="preserve"> it </w:t>
      </w:r>
      <w:r w:rsidR="005C2FA8" w:rsidRPr="00495AAB">
        <w:rPr>
          <w:szCs w:val="24"/>
        </w:rPr>
        <w:t xml:space="preserve">is recommended that </w:t>
      </w:r>
      <w:r w:rsidR="005C2FA8">
        <w:rPr>
          <w:szCs w:val="24"/>
        </w:rPr>
        <w:t>additional</w:t>
      </w:r>
      <w:r w:rsidR="005C2FA8" w:rsidRPr="00495AAB">
        <w:rPr>
          <w:szCs w:val="24"/>
        </w:rPr>
        <w:t xml:space="preserve"> methods be utilized for effective internal controls</w:t>
      </w:r>
      <w:r w:rsidR="005C2FA8">
        <w:rPr>
          <w:szCs w:val="24"/>
        </w:rPr>
        <w:t>.</w:t>
      </w:r>
    </w:p>
    <w:p w14:paraId="07170F10" w14:textId="580A76C8" w:rsidR="00E832A0" w:rsidRPr="00E832A0" w:rsidRDefault="00E832A0" w:rsidP="005C2F33">
      <w:pPr>
        <w:pStyle w:val="ListParagraph"/>
        <w:numPr>
          <w:ilvl w:val="0"/>
          <w:numId w:val="47"/>
        </w:numPr>
        <w:spacing w:before="0" w:after="0"/>
        <w:rPr>
          <w:szCs w:val="24"/>
        </w:rPr>
      </w:pPr>
      <w:r w:rsidRPr="00E832A0">
        <w:rPr>
          <w:szCs w:val="24"/>
        </w:rPr>
        <w:t>As inv</w:t>
      </w:r>
      <w:r>
        <w:rPr>
          <w:szCs w:val="24"/>
        </w:rPr>
        <w:t>oices are processed for payment</w:t>
      </w:r>
      <w:r w:rsidRPr="00E832A0">
        <w:rPr>
          <w:szCs w:val="24"/>
        </w:rPr>
        <w:t xml:space="preserve">, examine each invoice to identify transactions for which </w:t>
      </w:r>
      <w:r w:rsidR="00FC6723">
        <w:rPr>
          <w:szCs w:val="24"/>
        </w:rPr>
        <w:t xml:space="preserve">the </w:t>
      </w:r>
      <w:r w:rsidR="00FC6723" w:rsidRPr="00FC6723">
        <w:rPr>
          <w:szCs w:val="24"/>
        </w:rPr>
        <w:t xml:space="preserve">usage period </w:t>
      </w:r>
      <w:r w:rsidR="00FC6723">
        <w:rPr>
          <w:szCs w:val="24"/>
        </w:rPr>
        <w:t xml:space="preserve">of </w:t>
      </w:r>
      <w:r w:rsidRPr="00E832A0">
        <w:rPr>
          <w:szCs w:val="24"/>
        </w:rPr>
        <w:t>services/goods</w:t>
      </w:r>
      <w:r w:rsidR="00FC6723" w:rsidRPr="00FC6723">
        <w:rPr>
          <w:szCs w:val="24"/>
        </w:rPr>
        <w:t xml:space="preserve"> extends beyond June 30 of the current fiscal year</w:t>
      </w:r>
      <w:r w:rsidR="00FC6723">
        <w:rPr>
          <w:szCs w:val="24"/>
        </w:rPr>
        <w:t xml:space="preserve">. </w:t>
      </w:r>
      <w:r w:rsidRPr="00E832A0">
        <w:rPr>
          <w:szCs w:val="24"/>
        </w:rPr>
        <w:t>Record the details of the transaction (in sufficient detail for independent review and audit) on a spreadsheet.  A shared spreadsheet may be maintained for agencies with several individuals processing invoices.</w:t>
      </w:r>
    </w:p>
    <w:p w14:paraId="1AA992CF" w14:textId="247BBD03" w:rsidR="00914D43" w:rsidRDefault="00FC6723" w:rsidP="005C2F33">
      <w:pPr>
        <w:pStyle w:val="ListParagraph"/>
        <w:keepLines/>
        <w:numPr>
          <w:ilvl w:val="0"/>
          <w:numId w:val="47"/>
        </w:numPr>
        <w:spacing w:before="0" w:after="0"/>
        <w:rPr>
          <w:szCs w:val="24"/>
        </w:rPr>
      </w:pPr>
      <w:r w:rsidRPr="00E832A0">
        <w:rPr>
          <w:szCs w:val="24"/>
        </w:rPr>
        <w:t>At year-end</w:t>
      </w:r>
      <w:r w:rsidR="00FA5D89">
        <w:rPr>
          <w:szCs w:val="24"/>
        </w:rPr>
        <w:t>,</w:t>
      </w:r>
      <w:r w:rsidRPr="00E832A0">
        <w:rPr>
          <w:szCs w:val="24"/>
        </w:rPr>
        <w:t xml:space="preserve"> </w:t>
      </w:r>
      <w:r>
        <w:rPr>
          <w:szCs w:val="24"/>
        </w:rPr>
        <w:t xml:space="preserve">review expenditures to identify </w:t>
      </w:r>
      <w:r w:rsidRPr="00E832A0">
        <w:rPr>
          <w:szCs w:val="24"/>
        </w:rPr>
        <w:t>vendors and transactions from which future benefit may arise.</w:t>
      </w:r>
      <w:r w:rsidR="008937DD" w:rsidRPr="00E832A0">
        <w:rPr>
          <w:szCs w:val="24"/>
        </w:rPr>
        <w:t xml:space="preserve"> Based on the terms of the transaction, determine the </w:t>
      </w:r>
      <w:r>
        <w:rPr>
          <w:szCs w:val="24"/>
        </w:rPr>
        <w:t>amount</w:t>
      </w:r>
      <w:r w:rsidR="008937DD" w:rsidRPr="00E832A0">
        <w:rPr>
          <w:szCs w:val="24"/>
        </w:rPr>
        <w:t xml:space="preserve"> to be recognized in future periods.</w:t>
      </w:r>
    </w:p>
    <w:p w14:paraId="61BBC433" w14:textId="4B3C014B" w:rsidR="00FA5D89" w:rsidRPr="00FA5D89" w:rsidRDefault="00FA5D89" w:rsidP="00FA5D89">
      <w:pPr>
        <w:pStyle w:val="ListParagraph"/>
        <w:numPr>
          <w:ilvl w:val="0"/>
          <w:numId w:val="47"/>
        </w:numPr>
        <w:rPr>
          <w:szCs w:val="24"/>
        </w:rPr>
      </w:pPr>
      <w:r w:rsidRPr="00FA5D89">
        <w:rPr>
          <w:szCs w:val="24"/>
        </w:rPr>
        <w:t>Amounts reported in the non-current column of your agency’s prior-year package should be rolled forward and updates should be reported in the current year reporting package. Any agency that fails to report these updates may be asked to resubmit the reporting package. Resubmissions made after the reporting package due date may be counted as a late submission, regardless of when the initial reporting package was received.</w:t>
      </w:r>
    </w:p>
    <w:p w14:paraId="2B3DFBFC" w14:textId="03F8B337" w:rsidR="00557166" w:rsidRDefault="008937DD">
      <w:pPr>
        <w:spacing w:before="40"/>
        <w:rPr>
          <w:szCs w:val="24"/>
        </w:rPr>
      </w:pPr>
      <w:r>
        <w:rPr>
          <w:szCs w:val="24"/>
        </w:rPr>
        <w:t>Information should be obtained</w:t>
      </w:r>
      <w:r w:rsidR="00FA5D89">
        <w:rPr>
          <w:szCs w:val="24"/>
        </w:rPr>
        <w:t xml:space="preserve"> and</w:t>
      </w:r>
      <w:r>
        <w:rPr>
          <w:szCs w:val="24"/>
        </w:rPr>
        <w:t xml:space="preserve"> analyzed</w:t>
      </w:r>
      <w:r w:rsidR="00FA5D89">
        <w:rPr>
          <w:szCs w:val="24"/>
        </w:rPr>
        <w:t xml:space="preserve"> </w:t>
      </w:r>
      <w:proofErr w:type="gramStart"/>
      <w:r w:rsidR="00FA5D89">
        <w:rPr>
          <w:szCs w:val="24"/>
        </w:rPr>
        <w:t>in order</w:t>
      </w:r>
      <w:r>
        <w:rPr>
          <w:szCs w:val="24"/>
        </w:rPr>
        <w:t xml:space="preserve"> </w:t>
      </w:r>
      <w:r w:rsidR="00FA5D89">
        <w:rPr>
          <w:szCs w:val="24"/>
        </w:rPr>
        <w:t>to</w:t>
      </w:r>
      <w:proofErr w:type="gramEnd"/>
      <w:r>
        <w:rPr>
          <w:szCs w:val="24"/>
        </w:rPr>
        <w:t xml:space="preserve"> determin</w:t>
      </w:r>
      <w:r w:rsidR="00FA5D89">
        <w:rPr>
          <w:szCs w:val="24"/>
        </w:rPr>
        <w:t xml:space="preserve">e </w:t>
      </w:r>
      <w:r>
        <w:rPr>
          <w:szCs w:val="24"/>
        </w:rPr>
        <w:t xml:space="preserve">the current portion (the portion of the future benefit to be realized within the next fiscal year) and the </w:t>
      </w:r>
      <w:r w:rsidR="004965FF" w:rsidRPr="004965FF">
        <w:rPr>
          <w:szCs w:val="24"/>
        </w:rPr>
        <w:t>non-current portion</w:t>
      </w:r>
      <w:r>
        <w:rPr>
          <w:szCs w:val="24"/>
        </w:rPr>
        <w:t xml:space="preserve"> (the portion of the future benefit to be realized beyond the next fiscal year)</w:t>
      </w:r>
      <w:r w:rsidR="004965FF" w:rsidRPr="004965FF">
        <w:rPr>
          <w:szCs w:val="24"/>
        </w:rPr>
        <w:t xml:space="preserve"> of the </w:t>
      </w:r>
      <w:r w:rsidR="00557166">
        <w:rPr>
          <w:szCs w:val="24"/>
        </w:rPr>
        <w:t>prepaid expense</w:t>
      </w:r>
      <w:r>
        <w:rPr>
          <w:szCs w:val="24"/>
        </w:rPr>
        <w:t xml:space="preserve"> for proper reporting</w:t>
      </w:r>
      <w:r w:rsidR="004965FF" w:rsidRPr="004965FF">
        <w:rPr>
          <w:szCs w:val="24"/>
        </w:rPr>
        <w:t>.</w:t>
      </w:r>
      <w:r w:rsidR="00557166">
        <w:rPr>
          <w:szCs w:val="24"/>
        </w:rPr>
        <w:t xml:space="preserve"> </w:t>
      </w:r>
    </w:p>
    <w:p w14:paraId="76FFEF16" w14:textId="53842257" w:rsidR="00557166" w:rsidRDefault="00557166">
      <w:pPr>
        <w:spacing w:before="40"/>
        <w:rPr>
          <w:szCs w:val="24"/>
        </w:rPr>
      </w:pPr>
      <w:r w:rsidRPr="00DB1B02">
        <w:rPr>
          <w:szCs w:val="24"/>
        </w:rPr>
        <w:t xml:space="preserve">Agencies </w:t>
      </w:r>
      <w:r>
        <w:rPr>
          <w:szCs w:val="24"/>
        </w:rPr>
        <w:t>may exclude</w:t>
      </w:r>
      <w:r w:rsidRPr="00DB1B02">
        <w:rPr>
          <w:szCs w:val="24"/>
        </w:rPr>
        <w:t xml:space="preserve"> a prepaid expense if 12 months of expenditures have already been recorded in the current year for recurring items that have been in existence. If the prepaid expense relates to an item that has not existed in prior years </w:t>
      </w:r>
      <w:r>
        <w:rPr>
          <w:szCs w:val="24"/>
        </w:rPr>
        <w:t xml:space="preserve">or covers more than 12 months, </w:t>
      </w:r>
      <w:r w:rsidRPr="00DB1B02">
        <w:rPr>
          <w:szCs w:val="24"/>
        </w:rPr>
        <w:t>then the agency should report the prepaid expense.</w:t>
      </w:r>
    </w:p>
    <w:p w14:paraId="7671D94D" w14:textId="12C64A29" w:rsidR="00AF26B8" w:rsidRDefault="00810052">
      <w:pPr>
        <w:spacing w:before="40"/>
        <w:rPr>
          <w:szCs w:val="24"/>
        </w:rPr>
      </w:pPr>
      <w:r w:rsidRPr="00810052">
        <w:rPr>
          <w:szCs w:val="24"/>
        </w:rPr>
        <w:t xml:space="preserve">Agencies may exclude </w:t>
      </w:r>
      <w:r w:rsidR="006A2816">
        <w:rPr>
          <w:szCs w:val="24"/>
        </w:rPr>
        <w:t xml:space="preserve">prepaid items </w:t>
      </w:r>
      <w:r w:rsidR="00091476">
        <w:rPr>
          <w:szCs w:val="24"/>
        </w:rPr>
        <w:t>individually</w:t>
      </w:r>
      <w:r w:rsidRPr="00810052">
        <w:rPr>
          <w:szCs w:val="24"/>
        </w:rPr>
        <w:t xml:space="preserve"> under $10,000</w:t>
      </w:r>
      <w:r w:rsidR="00054BBC">
        <w:rPr>
          <w:szCs w:val="24"/>
        </w:rPr>
        <w:t xml:space="preserve"> </w:t>
      </w:r>
      <w:r w:rsidR="00054BBC" w:rsidRPr="00AD6D09">
        <w:rPr>
          <w:szCs w:val="24"/>
        </w:rPr>
        <w:t>(current plus non-current)</w:t>
      </w:r>
      <w:r w:rsidR="00054BBC" w:rsidRPr="00810052">
        <w:rPr>
          <w:szCs w:val="24"/>
        </w:rPr>
        <w:t xml:space="preserve"> </w:t>
      </w:r>
      <w:r w:rsidRPr="00810052">
        <w:rPr>
          <w:szCs w:val="24"/>
        </w:rPr>
        <w:t>up to $100,000 in aggreg</w:t>
      </w:r>
      <w:r w:rsidR="00EA75B9">
        <w:rPr>
          <w:szCs w:val="24"/>
        </w:rPr>
        <w:t xml:space="preserve">ate from this reporting package (i.e., </w:t>
      </w:r>
      <w:r w:rsidR="00EA75B9" w:rsidRPr="00EA75B9">
        <w:rPr>
          <w:szCs w:val="24"/>
        </w:rPr>
        <w:t xml:space="preserve">small items do not need to </w:t>
      </w:r>
      <w:r w:rsidR="00EA75B9">
        <w:rPr>
          <w:szCs w:val="24"/>
        </w:rPr>
        <w:t xml:space="preserve">be </w:t>
      </w:r>
      <w:r w:rsidR="00EA75B9" w:rsidRPr="00EA75B9">
        <w:rPr>
          <w:szCs w:val="24"/>
        </w:rPr>
        <w:t>report</w:t>
      </w:r>
      <w:r w:rsidR="00EA75B9">
        <w:rPr>
          <w:szCs w:val="24"/>
        </w:rPr>
        <w:t>ed</w:t>
      </w:r>
      <w:r w:rsidR="00EA75B9" w:rsidRPr="00EA75B9">
        <w:rPr>
          <w:szCs w:val="24"/>
        </w:rPr>
        <w:t xml:space="preserve"> </w:t>
      </w:r>
      <w:proofErr w:type="gramStart"/>
      <w:r w:rsidR="00EA75B9" w:rsidRPr="00EA75B9">
        <w:rPr>
          <w:szCs w:val="24"/>
        </w:rPr>
        <w:t>as long as</w:t>
      </w:r>
      <w:proofErr w:type="gramEnd"/>
      <w:r w:rsidR="00EA75B9" w:rsidRPr="00EA75B9">
        <w:rPr>
          <w:szCs w:val="24"/>
        </w:rPr>
        <w:t xml:space="preserve"> the total amount of items excluded does not exceed $100,000 for your agency</w:t>
      </w:r>
      <w:r w:rsidR="00EA75B9">
        <w:rPr>
          <w:szCs w:val="24"/>
        </w:rPr>
        <w:t>).</w:t>
      </w:r>
      <w:r w:rsidR="00091476">
        <w:rPr>
          <w:szCs w:val="24"/>
        </w:rPr>
        <w:t xml:space="preserve"> Report any items individually over $10,000 and if necessary, smaller items so that </w:t>
      </w:r>
      <w:r w:rsidR="00091476" w:rsidRPr="00091476">
        <w:rPr>
          <w:szCs w:val="24"/>
        </w:rPr>
        <w:t>the total amount of items excluded does not exceed $100,000 for your agency</w:t>
      </w:r>
      <w:r w:rsidR="00091476">
        <w:rPr>
          <w:szCs w:val="24"/>
        </w:rPr>
        <w:t>.</w:t>
      </w:r>
      <w:r w:rsidR="00054BBC">
        <w:rPr>
          <w:szCs w:val="24"/>
        </w:rPr>
        <w:t xml:space="preserve"> </w:t>
      </w:r>
    </w:p>
    <w:p w14:paraId="5C17CB01" w14:textId="31FED831" w:rsidR="00557166" w:rsidRDefault="00557166">
      <w:pPr>
        <w:spacing w:before="40"/>
        <w:rPr>
          <w:szCs w:val="24"/>
        </w:rPr>
      </w:pPr>
      <w:r w:rsidRPr="00AD6D09">
        <w:rPr>
          <w:szCs w:val="24"/>
        </w:rPr>
        <w:t>Agencies should review all prepaid expenses for exclusion annually, there is no roll forward of exclusions from the prior year.</w:t>
      </w:r>
    </w:p>
    <w:p w14:paraId="788902B0" w14:textId="34EB0DD0" w:rsidR="00FA5D89" w:rsidRDefault="00557166" w:rsidP="00557166">
      <w:pPr>
        <w:pStyle w:val="Bullet10"/>
        <w:spacing w:before="40"/>
        <w:ind w:left="0" w:firstLine="0"/>
        <w:rPr>
          <w:szCs w:val="24"/>
        </w:rPr>
      </w:pPr>
      <w:r>
        <w:rPr>
          <w:szCs w:val="24"/>
        </w:rPr>
        <w:t xml:space="preserve">Amounts paid in advance for debt, lease assets capitalized in accordance with GASB 87, or SBITAs </w:t>
      </w:r>
      <w:r w:rsidRPr="00E011AC">
        <w:rPr>
          <w:szCs w:val="24"/>
        </w:rPr>
        <w:t>capitalized in accordance with GASB 96</w:t>
      </w:r>
      <w:r>
        <w:rPr>
          <w:szCs w:val="24"/>
        </w:rPr>
        <w:t xml:space="preserve"> </w:t>
      </w:r>
      <w:r w:rsidRPr="009E00C4">
        <w:rPr>
          <w:b/>
          <w:bCs/>
          <w:szCs w:val="24"/>
          <w:u w:val="single"/>
        </w:rPr>
        <w:t>should not be reported</w:t>
      </w:r>
      <w:r>
        <w:rPr>
          <w:szCs w:val="24"/>
        </w:rPr>
        <w:t xml:space="preserve"> as prepaid expenses, but payments made in advance for leases or subscriptions that are not capitalized </w:t>
      </w:r>
      <w:r w:rsidRPr="00E011AC">
        <w:rPr>
          <w:b/>
          <w:bCs/>
          <w:szCs w:val="24"/>
          <w:u w:val="single"/>
        </w:rPr>
        <w:t>should be reported</w:t>
      </w:r>
      <w:r>
        <w:rPr>
          <w:szCs w:val="24"/>
        </w:rPr>
        <w:t>.</w:t>
      </w:r>
    </w:p>
    <w:p w14:paraId="387DBD21" w14:textId="77777777" w:rsidR="00557166" w:rsidRPr="00FA5D89" w:rsidRDefault="00557166" w:rsidP="00557166">
      <w:pPr>
        <w:pStyle w:val="Bullet10"/>
        <w:spacing w:before="40"/>
        <w:ind w:left="0" w:firstLine="0"/>
        <w:rPr>
          <w:szCs w:val="24"/>
        </w:rPr>
      </w:pPr>
    </w:p>
    <w:p w14:paraId="7B1ACE36" w14:textId="77777777" w:rsidR="0012040B" w:rsidRDefault="002513F7" w:rsidP="003B02BA">
      <w:pPr>
        <w:pStyle w:val="Heading2"/>
      </w:pPr>
      <w:bookmarkStart w:id="249" w:name="_Toc296235445"/>
      <w:bookmarkStart w:id="250" w:name="_Toc296235546"/>
      <w:bookmarkStart w:id="251" w:name="_Toc296247829"/>
      <w:bookmarkStart w:id="252" w:name="_Toc166149259"/>
      <w:bookmarkEnd w:id="245"/>
      <w:r>
        <w:t>Section _.8</w:t>
      </w:r>
      <w:r w:rsidRPr="0099749D">
        <w:t xml:space="preserve"> Capital Assets</w:t>
      </w:r>
      <w:bookmarkEnd w:id="246"/>
      <w:bookmarkEnd w:id="247"/>
      <w:bookmarkEnd w:id="249"/>
      <w:bookmarkEnd w:id="250"/>
      <w:bookmarkEnd w:id="251"/>
      <w:bookmarkEnd w:id="252"/>
    </w:p>
    <w:p w14:paraId="4E65EA5F" w14:textId="77777777" w:rsidR="005373B0" w:rsidRPr="0099749D" w:rsidRDefault="005373B0" w:rsidP="005D045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99749D">
        <w:rPr>
          <w:szCs w:val="24"/>
        </w:rPr>
        <w:t>Generally Accepted Accounting Principles (GAAP) for capital assets and depreciation of capital assets are defined in:</w:t>
      </w:r>
    </w:p>
    <w:p w14:paraId="36DD28FC" w14:textId="5442CE55"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88"/>
        <w:rPr>
          <w:szCs w:val="24"/>
        </w:rPr>
      </w:pPr>
      <w:r w:rsidRPr="0099749D">
        <w:rPr>
          <w:szCs w:val="24"/>
        </w:rPr>
        <w:t>o</w:t>
      </w:r>
      <w:r w:rsidRPr="0099749D">
        <w:rPr>
          <w:szCs w:val="24"/>
        </w:rPr>
        <w:tab/>
        <w:t>GASB Codification Sections 1400.101 through .143, 1100.105 through .107, 2300.106a(</w:t>
      </w:r>
      <w:r w:rsidR="00653586">
        <w:rPr>
          <w:szCs w:val="24"/>
        </w:rPr>
        <w:t>8</w:t>
      </w:r>
      <w:r w:rsidRPr="0099749D">
        <w:rPr>
          <w:szCs w:val="24"/>
        </w:rPr>
        <w:t xml:space="preserve">), </w:t>
      </w:r>
      <w:r w:rsidRPr="0099749D">
        <w:rPr>
          <w:szCs w:val="24"/>
        </w:rPr>
        <w:lastRenderedPageBreak/>
        <w:t>2300.106k, 2300.106</w:t>
      </w:r>
      <w:r w:rsidR="001A25BB">
        <w:rPr>
          <w:szCs w:val="24"/>
        </w:rPr>
        <w:t>l</w:t>
      </w:r>
      <w:r w:rsidRPr="0099749D">
        <w:rPr>
          <w:szCs w:val="24"/>
        </w:rPr>
        <w:t>, and 2300.111 through 2300.113.</w:t>
      </w:r>
    </w:p>
    <w:p w14:paraId="329CF144" w14:textId="77777777" w:rsidR="005373B0"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99749D">
        <w:rPr>
          <w:szCs w:val="24"/>
        </w:rPr>
        <w:t>Accordingly, the State has adopted the following policies and procedures for recording capital assets on the State's financial statements.</w:t>
      </w:r>
    </w:p>
    <w:p w14:paraId="49E0925F" w14:textId="77777777" w:rsidR="00DD4167" w:rsidRPr="0099749D" w:rsidRDefault="00DD4167" w:rsidP="00DD4167">
      <w:pPr>
        <w:pStyle w:val="Heading3"/>
      </w:pPr>
      <w:bookmarkStart w:id="253" w:name="_Toc296247830"/>
      <w:bookmarkStart w:id="254" w:name="_Toc166149260"/>
      <w:r>
        <w:t>Cost Principles</w:t>
      </w:r>
      <w:bookmarkEnd w:id="253"/>
      <w:bookmarkEnd w:id="254"/>
    </w:p>
    <w:p w14:paraId="475C2A17" w14:textId="77777777" w:rsidR="005373B0" w:rsidRPr="0099749D" w:rsidRDefault="005373B0" w:rsidP="002513F7">
      <w:pPr>
        <w:pStyle w:val="Heading4"/>
      </w:pPr>
      <w:r w:rsidRPr="0099749D">
        <w:t>Historical Cost vs. Estimates</w:t>
      </w:r>
    </w:p>
    <w:p w14:paraId="35C79D8E" w14:textId="77777777"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 xml:space="preserve">Use actual historical cost records to establish book values for capital assets.  If actual cost records are not available, agencies should </w:t>
      </w:r>
      <w:r w:rsidRPr="0099749D">
        <w:rPr>
          <w:szCs w:val="24"/>
          <w:u w:val="single"/>
        </w:rPr>
        <w:t>estimate</w:t>
      </w:r>
      <w:r w:rsidRPr="0099749D">
        <w:rPr>
          <w:szCs w:val="24"/>
        </w:rPr>
        <w:t xml:space="preserve"> the cost a</w:t>
      </w:r>
      <w:r w:rsidR="0098709E">
        <w:rPr>
          <w:szCs w:val="24"/>
        </w:rPr>
        <w:t>t</w:t>
      </w:r>
      <w:r w:rsidRPr="0099749D">
        <w:rPr>
          <w:szCs w:val="24"/>
        </w:rPr>
        <w:t xml:space="preserve"> the date </w:t>
      </w:r>
      <w:r w:rsidR="0098709E">
        <w:rPr>
          <w:szCs w:val="24"/>
        </w:rPr>
        <w:t xml:space="preserve">of </w:t>
      </w:r>
      <w:r w:rsidRPr="0099749D">
        <w:rPr>
          <w:szCs w:val="24"/>
        </w:rPr>
        <w:t>acqui</w:t>
      </w:r>
      <w:r w:rsidR="0098709E">
        <w:rPr>
          <w:szCs w:val="24"/>
        </w:rPr>
        <w:t>sition</w:t>
      </w:r>
      <w:r w:rsidRPr="0099749D">
        <w:rPr>
          <w:szCs w:val="24"/>
        </w:rPr>
        <w:t>.  If the agency estimates the cost, it should fully document its estimate and the estimation methods it used.</w:t>
      </w:r>
    </w:p>
    <w:p w14:paraId="45F42B53" w14:textId="77777777" w:rsidR="005373B0" w:rsidRPr="0099749D" w:rsidRDefault="005373B0" w:rsidP="00E35B2E">
      <w:pPr>
        <w:pStyle w:val="Heading8"/>
        <w:keepNext/>
      </w:pPr>
      <w:r w:rsidRPr="0099749D">
        <w:t>Historical Cost of Purchased or Constructed Capital Assets</w:t>
      </w:r>
    </w:p>
    <w:p w14:paraId="432EE7B8" w14:textId="3A621F7C" w:rsidR="005373B0" w:rsidRPr="0099749D" w:rsidRDefault="005373B0" w:rsidP="0053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 xml:space="preserve">The historical cost of a purchased or constructed capital asset </w:t>
      </w:r>
      <w:r w:rsidR="00653586">
        <w:rPr>
          <w:szCs w:val="24"/>
        </w:rPr>
        <w:t xml:space="preserve">is the original cost paid to acquire and place the asset into its intended location and condition for use. The historical cost </w:t>
      </w:r>
      <w:r w:rsidRPr="0099749D">
        <w:rPr>
          <w:szCs w:val="24"/>
        </w:rPr>
        <w:t xml:space="preserve">includes: </w:t>
      </w:r>
    </w:p>
    <w:p w14:paraId="797C4C24" w14:textId="1B23D7C3" w:rsidR="005373B0" w:rsidRPr="0099749D" w:rsidRDefault="005373B0" w:rsidP="0053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r>
      <w:proofErr w:type="gramStart"/>
      <w:r w:rsidRPr="0099749D">
        <w:rPr>
          <w:szCs w:val="24"/>
        </w:rPr>
        <w:t>The</w:t>
      </w:r>
      <w:proofErr w:type="gramEnd"/>
      <w:r w:rsidR="00002E50">
        <w:rPr>
          <w:szCs w:val="24"/>
        </w:rPr>
        <w:t xml:space="preserve"> </w:t>
      </w:r>
      <w:r w:rsidR="00653586">
        <w:rPr>
          <w:szCs w:val="24"/>
        </w:rPr>
        <w:t xml:space="preserve">actual </w:t>
      </w:r>
      <w:r w:rsidRPr="0099749D">
        <w:rPr>
          <w:szCs w:val="24"/>
        </w:rPr>
        <w:t>invoice or contract price</w:t>
      </w:r>
      <w:r w:rsidR="00AB2B96">
        <w:rPr>
          <w:szCs w:val="24"/>
        </w:rPr>
        <w:t xml:space="preserve"> paid</w:t>
      </w:r>
      <w:r w:rsidRPr="0099749D">
        <w:rPr>
          <w:szCs w:val="24"/>
        </w:rPr>
        <w:t>.</w:t>
      </w:r>
    </w:p>
    <w:p w14:paraId="3081FA2A" w14:textId="77777777" w:rsidR="005373B0" w:rsidRPr="0099749D" w:rsidRDefault="005373B0" w:rsidP="0053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Sales taxes.</w:t>
      </w:r>
    </w:p>
    <w:p w14:paraId="0566E51E" w14:textId="77777777" w:rsidR="00914D43" w:rsidRDefault="005373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Delivery and installation costs.</w:t>
      </w:r>
    </w:p>
    <w:p w14:paraId="57706ACA"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Site preparation costs.</w:t>
      </w:r>
    </w:p>
    <w:p w14:paraId="0EBDBEBF"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288"/>
        <w:rPr>
          <w:szCs w:val="24"/>
        </w:rPr>
      </w:pPr>
      <w:r w:rsidRPr="0099749D">
        <w:rPr>
          <w:szCs w:val="24"/>
        </w:rPr>
        <w:t>o</w:t>
      </w:r>
      <w:r w:rsidRPr="0099749D">
        <w:rPr>
          <w:szCs w:val="24"/>
        </w:rPr>
        <w:tab/>
        <w:t>Professional fees (legal fees, title costs, surveying fees, engineering fees, architectural fees, etc.).</w:t>
      </w:r>
    </w:p>
    <w:p w14:paraId="204B666D"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Component equipment costs.</w:t>
      </w:r>
    </w:p>
    <w:p w14:paraId="07A5308E" w14:textId="114255CD" w:rsidR="005373B0"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Insurance premiums paid during construction.</w:t>
      </w:r>
    </w:p>
    <w:p w14:paraId="442E549E"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szCs w:val="24"/>
        </w:rPr>
      </w:pPr>
      <w:r w:rsidRPr="0099749D">
        <w:rPr>
          <w:szCs w:val="24"/>
        </w:rPr>
        <w:t xml:space="preserve">Historical cost does </w:t>
      </w:r>
      <w:r w:rsidRPr="0099749D">
        <w:rPr>
          <w:szCs w:val="24"/>
          <w:u w:val="single"/>
        </w:rPr>
        <w:t>not</w:t>
      </w:r>
      <w:r w:rsidRPr="0099749D">
        <w:rPr>
          <w:szCs w:val="24"/>
        </w:rPr>
        <w:t xml:space="preserve"> include:</w:t>
      </w:r>
    </w:p>
    <w:p w14:paraId="40710BEA" w14:textId="58065B19"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288"/>
        <w:rPr>
          <w:szCs w:val="24"/>
        </w:rPr>
      </w:pPr>
      <w:r w:rsidRPr="0099749D">
        <w:rPr>
          <w:szCs w:val="24"/>
        </w:rPr>
        <w:t>o</w:t>
      </w:r>
      <w:r w:rsidRPr="0099749D">
        <w:rPr>
          <w:szCs w:val="24"/>
        </w:rPr>
        <w:tab/>
        <w:t>Financing costs (such as interest on leases or installment purchases).</w:t>
      </w:r>
    </w:p>
    <w:p w14:paraId="4BE2D3AB"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288"/>
        <w:rPr>
          <w:szCs w:val="24"/>
        </w:rPr>
      </w:pPr>
      <w:r w:rsidRPr="0099749D">
        <w:rPr>
          <w:szCs w:val="24"/>
        </w:rPr>
        <w:t>o</w:t>
      </w:r>
      <w:r w:rsidRPr="0099749D">
        <w:rPr>
          <w:szCs w:val="24"/>
        </w:rPr>
        <w:tab/>
        <w:t>Ordinary repair costs to keep capital assets in operating condition.</w:t>
      </w:r>
    </w:p>
    <w:p w14:paraId="57DF21C8" w14:textId="41B3A7B6" w:rsidR="005373B0" w:rsidRPr="0099749D" w:rsidRDefault="005373B0" w:rsidP="006535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hanging="288"/>
        <w:rPr>
          <w:szCs w:val="24"/>
        </w:rPr>
      </w:pPr>
      <w:r w:rsidRPr="0099749D">
        <w:rPr>
          <w:szCs w:val="24"/>
        </w:rPr>
        <w:t>o</w:t>
      </w:r>
      <w:r w:rsidRPr="0099749D">
        <w:rPr>
          <w:szCs w:val="24"/>
        </w:rPr>
        <w:tab/>
      </w:r>
      <w:r w:rsidR="00653586" w:rsidRPr="0099749D">
        <w:rPr>
          <w:szCs w:val="24"/>
        </w:rPr>
        <w:t xml:space="preserve">Interest paid </w:t>
      </w:r>
      <w:r w:rsidR="00AB2B96">
        <w:rPr>
          <w:szCs w:val="24"/>
        </w:rPr>
        <w:t>on construction debt during construction.</w:t>
      </w:r>
    </w:p>
    <w:p w14:paraId="261FED9E" w14:textId="77777777" w:rsidR="005373B0" w:rsidRPr="0099749D" w:rsidRDefault="005373B0" w:rsidP="002513F7">
      <w:pPr>
        <w:pStyle w:val="Heading8"/>
      </w:pPr>
      <w:r w:rsidRPr="0099749D">
        <w:t>Book Value of Assets Acquired by Forfeiture or Condemnation</w:t>
      </w:r>
    </w:p>
    <w:p w14:paraId="31EB98D2" w14:textId="77777777" w:rsidR="005373B0" w:rsidRPr="0099749D" w:rsidRDefault="005373B0" w:rsidP="005D045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 xml:space="preserve">The book value at acquisition of an asset acquired by forfeiture or condemnation is the </w:t>
      </w:r>
      <w:r w:rsidRPr="0099749D">
        <w:rPr>
          <w:szCs w:val="24"/>
          <w:u w:val="single"/>
        </w:rPr>
        <w:t>lesser</w:t>
      </w:r>
      <w:r w:rsidRPr="0099749D">
        <w:rPr>
          <w:szCs w:val="24"/>
        </w:rPr>
        <w:t xml:space="preserve"> of:</w:t>
      </w:r>
    </w:p>
    <w:p w14:paraId="365282A3"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r>
      <w:proofErr w:type="gramStart"/>
      <w:r w:rsidRPr="0099749D">
        <w:rPr>
          <w:szCs w:val="24"/>
        </w:rPr>
        <w:t>The</w:t>
      </w:r>
      <w:proofErr w:type="gramEnd"/>
      <w:r w:rsidRPr="0099749D">
        <w:rPr>
          <w:szCs w:val="24"/>
        </w:rPr>
        <w:t xml:space="preserve"> asset's fair value.</w:t>
      </w:r>
    </w:p>
    <w:p w14:paraId="166A7298"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288"/>
        <w:rPr>
          <w:szCs w:val="24"/>
        </w:rPr>
      </w:pPr>
      <w:r w:rsidRPr="0099749D">
        <w:rPr>
          <w:szCs w:val="24"/>
        </w:rPr>
        <w:t>o</w:t>
      </w:r>
      <w:r w:rsidRPr="0099749D">
        <w:rPr>
          <w:szCs w:val="24"/>
        </w:rPr>
        <w:tab/>
      </w:r>
      <w:proofErr w:type="gramStart"/>
      <w:r w:rsidRPr="0099749D">
        <w:rPr>
          <w:szCs w:val="24"/>
        </w:rPr>
        <w:t>The</w:t>
      </w:r>
      <w:proofErr w:type="gramEnd"/>
      <w:r w:rsidRPr="0099749D">
        <w:rPr>
          <w:szCs w:val="24"/>
        </w:rPr>
        <w:t xml:space="preserve"> amount the former owner owes plus amounts the State pays to obtain the forfeiture and put the asset into use. </w:t>
      </w:r>
    </w:p>
    <w:p w14:paraId="0CBB00B9" w14:textId="77777777"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Record depreciation for a depreciable asset acquired by forfeiture or condemnation using its estimated remaining useful life at the date of forfeiture or condemnation.</w:t>
      </w:r>
    </w:p>
    <w:p w14:paraId="7D1761F7" w14:textId="77777777" w:rsidR="005373B0" w:rsidRPr="0099749D" w:rsidRDefault="005373B0" w:rsidP="002513F7">
      <w:pPr>
        <w:pStyle w:val="Heading8"/>
        <w:keepNext/>
      </w:pPr>
      <w:r w:rsidRPr="0099749D">
        <w:t>Book Value of Assets Received from a Non-State Donor</w:t>
      </w:r>
    </w:p>
    <w:p w14:paraId="051639BE" w14:textId="77777777"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 xml:space="preserve">The book value at acquisition of an asset given to a </w:t>
      </w:r>
      <w:proofErr w:type="gramStart"/>
      <w:r w:rsidRPr="0099749D">
        <w:rPr>
          <w:szCs w:val="24"/>
        </w:rPr>
        <w:t>State</w:t>
      </w:r>
      <w:proofErr w:type="gramEnd"/>
      <w:r w:rsidRPr="0099749D">
        <w:rPr>
          <w:szCs w:val="24"/>
        </w:rPr>
        <w:t xml:space="preserve"> agency by a non-State party is the asset's fair value at the date of receipt.  Record depreciation for a depreciable donated asset using its estimated remaining useful life at the date of donation.</w:t>
      </w:r>
    </w:p>
    <w:p w14:paraId="40B1EEFD" w14:textId="77777777" w:rsidR="005373B0" w:rsidRPr="0099749D" w:rsidRDefault="005373B0" w:rsidP="00743B15">
      <w:pPr>
        <w:pStyle w:val="Heading8"/>
        <w:keepNext/>
      </w:pPr>
      <w:r w:rsidRPr="0099749D">
        <w:lastRenderedPageBreak/>
        <w:t xml:space="preserve">Book Value of Assets Received Through Intra-State Transfers  </w:t>
      </w:r>
    </w:p>
    <w:p w14:paraId="052A25E6" w14:textId="77777777"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An agency may receive capital assets through an intra-State transfer from another agency or fund.  The receiving agency should record the capital asset and accumulated depreciation at the same amount the transferring agency or fund re</w:t>
      </w:r>
      <w:r w:rsidR="005D0457">
        <w:rPr>
          <w:szCs w:val="24"/>
        </w:rPr>
        <w:t xml:space="preserve">moves from its books.  See the </w:t>
      </w:r>
      <w:r w:rsidRPr="0099749D">
        <w:rPr>
          <w:szCs w:val="24"/>
        </w:rPr>
        <w:t>Intra-State Transfers Section below for additional information.</w:t>
      </w:r>
    </w:p>
    <w:p w14:paraId="3CFC8EB2" w14:textId="77777777" w:rsidR="005373B0" w:rsidRPr="0099749D" w:rsidRDefault="005373B0" w:rsidP="002513F7">
      <w:pPr>
        <w:pStyle w:val="Heading8"/>
      </w:pPr>
      <w:r w:rsidRPr="0099749D">
        <w:t>Book Value of Assets Acquired Through Trade-in</w:t>
      </w:r>
    </w:p>
    <w:p w14:paraId="3FFB0799"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The book value of an asset acquired through trade-in is:</w:t>
      </w:r>
    </w:p>
    <w:p w14:paraId="1C5F569F" w14:textId="42AA988F"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r>
      <w:proofErr w:type="gramStart"/>
      <w:r w:rsidRPr="0099749D">
        <w:rPr>
          <w:szCs w:val="24"/>
        </w:rPr>
        <w:t>The</w:t>
      </w:r>
      <w:proofErr w:type="gramEnd"/>
      <w:r w:rsidRPr="0099749D">
        <w:rPr>
          <w:szCs w:val="24"/>
        </w:rPr>
        <w:t xml:space="preserve"> </w:t>
      </w:r>
      <w:r w:rsidR="00AB2B96">
        <w:rPr>
          <w:szCs w:val="24"/>
        </w:rPr>
        <w:t xml:space="preserve">actual </w:t>
      </w:r>
      <w:r w:rsidR="00653586">
        <w:rPr>
          <w:szCs w:val="24"/>
        </w:rPr>
        <w:t>invoice</w:t>
      </w:r>
      <w:r w:rsidRPr="0099749D">
        <w:rPr>
          <w:szCs w:val="24"/>
        </w:rPr>
        <w:t xml:space="preserve"> or contract price </w:t>
      </w:r>
      <w:r w:rsidR="00AB2B96">
        <w:rPr>
          <w:szCs w:val="24"/>
        </w:rPr>
        <w:t xml:space="preserve">paid for </w:t>
      </w:r>
      <w:r w:rsidRPr="0099749D">
        <w:rPr>
          <w:szCs w:val="24"/>
        </w:rPr>
        <w:t>the new asset</w:t>
      </w:r>
    </w:p>
    <w:p w14:paraId="108AC3AB" w14:textId="25AB8FD3"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r>
      <w:r w:rsidRPr="0099749D">
        <w:rPr>
          <w:szCs w:val="24"/>
          <w:u w:val="single"/>
        </w:rPr>
        <w:t>Less</w:t>
      </w:r>
      <w:r w:rsidRPr="0099749D">
        <w:rPr>
          <w:szCs w:val="24"/>
        </w:rPr>
        <w:t xml:space="preserve"> the trade-in value of the old asset</w:t>
      </w:r>
    </w:p>
    <w:p w14:paraId="3681298C"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r>
      <w:r w:rsidRPr="0099749D">
        <w:rPr>
          <w:szCs w:val="24"/>
          <w:u w:val="single"/>
        </w:rPr>
        <w:t>Plus</w:t>
      </w:r>
      <w:r w:rsidRPr="0099749D">
        <w:rPr>
          <w:szCs w:val="24"/>
        </w:rPr>
        <w:t xml:space="preserve"> the net book value of the old asset.</w:t>
      </w:r>
    </w:p>
    <w:p w14:paraId="1423C311" w14:textId="77777777" w:rsidR="005373B0"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Record depreciation for a depreciable asset acquired through trade-in using its estimated remaining useful life at the date acquired.</w:t>
      </w:r>
    </w:p>
    <w:p w14:paraId="3AFF2989" w14:textId="77777777" w:rsidR="00DD4167" w:rsidRPr="0099749D" w:rsidRDefault="00DD4167" w:rsidP="00DD4167">
      <w:pPr>
        <w:pStyle w:val="Heading3"/>
      </w:pPr>
      <w:bookmarkStart w:id="255" w:name="_Toc296247831"/>
      <w:bookmarkStart w:id="256" w:name="_Toc166149261"/>
      <w:r>
        <w:t>Recording Assets</w:t>
      </w:r>
      <w:bookmarkEnd w:id="255"/>
      <w:bookmarkEnd w:id="256"/>
    </w:p>
    <w:p w14:paraId="69E935BF" w14:textId="77777777" w:rsidR="005373B0" w:rsidRPr="0099749D" w:rsidRDefault="005373B0" w:rsidP="002513F7">
      <w:pPr>
        <w:pStyle w:val="Heading4"/>
      </w:pPr>
      <w:r w:rsidRPr="0099749D">
        <w:t>Capital Asset Additions</w:t>
      </w:r>
    </w:p>
    <w:p w14:paraId="32BFDD71" w14:textId="2AF458B6" w:rsidR="005373B0" w:rsidRPr="0099749D" w:rsidRDefault="005373B0" w:rsidP="00DD4167">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 xml:space="preserve">The State adds the book value of a purchased or donated capital asset to its financial statements in the fiscal year the State </w:t>
      </w:r>
      <w:r w:rsidRPr="0099749D">
        <w:rPr>
          <w:szCs w:val="24"/>
          <w:u w:val="single"/>
        </w:rPr>
        <w:t>receives</w:t>
      </w:r>
      <w:r w:rsidRPr="0099749D">
        <w:rPr>
          <w:szCs w:val="24"/>
        </w:rPr>
        <w:t xml:space="preserve"> it.  Except for lease</w:t>
      </w:r>
      <w:r w:rsidR="00CE139B">
        <w:rPr>
          <w:szCs w:val="24"/>
        </w:rPr>
        <w:t>s subject to GASB 87</w:t>
      </w:r>
      <w:r w:rsidR="005249FA">
        <w:rPr>
          <w:szCs w:val="24"/>
        </w:rPr>
        <w:t>, SBITAs subject to GASB 96,</w:t>
      </w:r>
      <w:r w:rsidRPr="0099749D">
        <w:rPr>
          <w:szCs w:val="24"/>
        </w:rPr>
        <w:t xml:space="preserve"> and installment purchase situations, this usually is the year when the agency records the expenditure for the asset in SCEIS.  </w:t>
      </w:r>
    </w:p>
    <w:p w14:paraId="059F17F6" w14:textId="4E3D6BE6"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The State adds the cost of constructed capital assets, including contract retentions</w:t>
      </w:r>
      <w:r w:rsidR="001D3E8E">
        <w:rPr>
          <w:rStyle w:val="FootnoteReference"/>
          <w:szCs w:val="24"/>
        </w:rPr>
        <w:footnoteReference w:id="28"/>
      </w:r>
      <w:r w:rsidRPr="0099749D">
        <w:rPr>
          <w:szCs w:val="24"/>
        </w:rPr>
        <w:t xml:space="preserve"> </w:t>
      </w:r>
      <w:r w:rsidR="001D3E8E">
        <w:rPr>
          <w:szCs w:val="24"/>
        </w:rPr>
        <w:t>(</w:t>
      </w:r>
      <w:r w:rsidRPr="0099749D">
        <w:rPr>
          <w:szCs w:val="24"/>
        </w:rPr>
        <w:t xml:space="preserve">also known as retainage payable), to Construction in Progress </w:t>
      </w:r>
      <w:r w:rsidR="00436DF0">
        <w:rPr>
          <w:szCs w:val="24"/>
        </w:rPr>
        <w:t xml:space="preserve">(also known as Asset Under Construction) </w:t>
      </w:r>
      <w:r w:rsidRPr="0099749D">
        <w:rPr>
          <w:szCs w:val="24"/>
        </w:rPr>
        <w:t>during construction.  When construction is substantially complete, the State:</w:t>
      </w:r>
    </w:p>
    <w:p w14:paraId="4366FF06" w14:textId="75592795"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Subtracts all project costs from Construction in Progress.</w:t>
      </w:r>
    </w:p>
    <w:p w14:paraId="61526E08"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288"/>
        <w:rPr>
          <w:szCs w:val="24"/>
        </w:rPr>
      </w:pPr>
      <w:r w:rsidRPr="0099749D">
        <w:rPr>
          <w:szCs w:val="24"/>
        </w:rPr>
        <w:t>o</w:t>
      </w:r>
      <w:r w:rsidRPr="0099749D">
        <w:rPr>
          <w:szCs w:val="24"/>
        </w:rPr>
        <w:tab/>
        <w:t>Adds all project costs to the appropriate capital asset category.</w:t>
      </w:r>
    </w:p>
    <w:p w14:paraId="3254157A" w14:textId="3DC874E2" w:rsidR="005373B0"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 xml:space="preserve">Construction in Progress is reported </w:t>
      </w:r>
      <w:r w:rsidR="00BB24A0">
        <w:rPr>
          <w:szCs w:val="24"/>
        </w:rPr>
        <w:t>as a separate asset class</w:t>
      </w:r>
      <w:r w:rsidR="00387275">
        <w:rPr>
          <w:szCs w:val="24"/>
        </w:rPr>
        <w:t xml:space="preserve">, </w:t>
      </w:r>
      <w:r w:rsidR="00BB24A0">
        <w:rPr>
          <w:szCs w:val="24"/>
        </w:rPr>
        <w:t>Asset Under Construction</w:t>
      </w:r>
      <w:r w:rsidR="00387275">
        <w:rPr>
          <w:szCs w:val="24"/>
        </w:rPr>
        <w:t>,</w:t>
      </w:r>
      <w:r w:rsidRPr="0099749D">
        <w:rPr>
          <w:szCs w:val="24"/>
        </w:rPr>
        <w:t xml:space="preserve"> in the SCEIS Asset History Report.</w:t>
      </w:r>
    </w:p>
    <w:p w14:paraId="4DFD242E" w14:textId="0361D3D4" w:rsidR="008D0883" w:rsidRDefault="00A93DD1" w:rsidP="00A93DD1">
      <w:r w:rsidRPr="00A93DD1">
        <w:rPr>
          <w:b/>
          <w:bCs/>
          <w:szCs w:val="24"/>
          <w:u w:val="single"/>
        </w:rPr>
        <w:t>A</w:t>
      </w:r>
      <w:r w:rsidRPr="008223E4">
        <w:rPr>
          <w:b/>
          <w:bCs/>
          <w:u w:val="single"/>
        </w:rPr>
        <w:t>ll</w:t>
      </w:r>
      <w:r w:rsidRPr="008223E4">
        <w:t xml:space="preserve"> </w:t>
      </w:r>
      <w:r>
        <w:t xml:space="preserve">assets under construction (AUC) should be moved from the AUC asset class to their final asset class when the asset </w:t>
      </w:r>
      <w:r>
        <w:rPr>
          <w:b/>
          <w:bCs/>
        </w:rPr>
        <w:t>is ready and available for its intended use</w:t>
      </w:r>
      <w:r>
        <w:t xml:space="preserve">. If this occurs before the project is complete, any remaining project expenditures for the project should be expensed (i.e., not added to the final value of the asset). </w:t>
      </w:r>
    </w:p>
    <w:p w14:paraId="4EB83FE2" w14:textId="77777777" w:rsidR="00A93DD1" w:rsidRDefault="00A93DD1" w:rsidP="00A93DD1">
      <w:r>
        <w:t xml:space="preserve">If the asset is ready and available for its intended use, but the project is not yet complete, agencies may elect to wait until the project is 100% complete before moving the asset from AUC if </w:t>
      </w:r>
      <w:r>
        <w:rPr>
          <w:b/>
          <w:bCs/>
        </w:rPr>
        <w:t xml:space="preserve">both </w:t>
      </w:r>
      <w:r>
        <w:t xml:space="preserve">of the following are true: </w:t>
      </w:r>
    </w:p>
    <w:p w14:paraId="0D7798C5" w14:textId="77777777" w:rsidR="00A93DD1" w:rsidRDefault="00A93DD1" w:rsidP="00C45492">
      <w:pPr>
        <w:pStyle w:val="ListParagraph"/>
        <w:numPr>
          <w:ilvl w:val="0"/>
          <w:numId w:val="56"/>
        </w:numPr>
        <w:spacing w:before="0" w:after="0"/>
        <w:contextualSpacing w:val="0"/>
        <w:jc w:val="left"/>
      </w:pPr>
      <w:r>
        <w:t xml:space="preserve">The remaining project expenditures do not exceed 10% of the project total </w:t>
      </w:r>
      <w:r>
        <w:rPr>
          <w:b/>
          <w:bCs/>
          <w:u w:val="single"/>
        </w:rPr>
        <w:t>or</w:t>
      </w:r>
      <w:r>
        <w:t xml:space="preserve"> $100,000, whichever is less AND</w:t>
      </w:r>
    </w:p>
    <w:p w14:paraId="66512481" w14:textId="53F3C07D" w:rsidR="00A93DD1" w:rsidRPr="00387275" w:rsidRDefault="00A93DD1" w:rsidP="00C45492">
      <w:pPr>
        <w:pStyle w:val="ListParagraph"/>
        <w:numPr>
          <w:ilvl w:val="0"/>
          <w:numId w:val="56"/>
        </w:numPr>
        <w:spacing w:before="0" w:after="0"/>
        <w:contextualSpacing w:val="0"/>
        <w:jc w:val="left"/>
      </w:pPr>
      <w:r>
        <w:lastRenderedPageBreak/>
        <w:t xml:space="preserve">The project will be completed in 3 months or less from the date the asset became ready and available for its intended use. </w:t>
      </w:r>
    </w:p>
    <w:p w14:paraId="5EC8CABA" w14:textId="77777777" w:rsidR="005373B0" w:rsidRPr="0099749D" w:rsidRDefault="005373B0" w:rsidP="002513F7">
      <w:pPr>
        <w:pStyle w:val="Heading4"/>
      </w:pPr>
      <w:r w:rsidRPr="0099749D">
        <w:t>Capital Asset Retirements</w:t>
      </w:r>
    </w:p>
    <w:p w14:paraId="58162081" w14:textId="77777777"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The State reports the removal of the book value and accumulated depreciation of a capital asset from its financial statements in the fiscal year of the retirement.</w:t>
      </w:r>
    </w:p>
    <w:p w14:paraId="63E9D405" w14:textId="77777777" w:rsidR="005373B0" w:rsidRPr="0099749D" w:rsidRDefault="005373B0" w:rsidP="002513F7">
      <w:pPr>
        <w:pStyle w:val="Heading4"/>
      </w:pPr>
      <w:r w:rsidRPr="0099749D">
        <w:t>Capitalization Criteria and Implementation of a Change in Threshold or Minimum Useful Life</w:t>
      </w:r>
    </w:p>
    <w:p w14:paraId="1C77B7E2" w14:textId="77777777"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Each State agency must follow the capitalization criteria outlined in Exhibit 3.8(A)</w:t>
      </w:r>
    </w:p>
    <w:p w14:paraId="37D61A71" w14:textId="2A9DAAF8" w:rsidR="005373B0" w:rsidRPr="0099749D" w:rsidRDefault="005373B0" w:rsidP="002513F7">
      <w:pPr>
        <w:pStyle w:val="Heading4"/>
      </w:pPr>
      <w:r w:rsidRPr="0099749D">
        <w:t>Capital Assets Acquired by Leases</w:t>
      </w:r>
      <w:r w:rsidR="00024412">
        <w:t xml:space="preserve"> Subject to GASB 87</w:t>
      </w:r>
      <w:r w:rsidR="005249FA">
        <w:t xml:space="preserve"> </w:t>
      </w:r>
      <w:r w:rsidR="00BB24A0">
        <w:t xml:space="preserve">or </w:t>
      </w:r>
      <w:r w:rsidR="005249FA">
        <w:t xml:space="preserve">Capital Assets Acquired by </w:t>
      </w:r>
      <w:r w:rsidR="00BB24A0">
        <w:t>Subscription-Based Technology Agreements</w:t>
      </w:r>
      <w:r w:rsidR="005249FA">
        <w:t xml:space="preserve"> (SBITAs) Subject to GASB 96</w:t>
      </w:r>
    </w:p>
    <w:p w14:paraId="2BC12384" w14:textId="46767E92"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Assets acquired by leases</w:t>
      </w:r>
      <w:r w:rsidR="00024412">
        <w:rPr>
          <w:szCs w:val="24"/>
        </w:rPr>
        <w:t xml:space="preserve"> subject to GASB 87</w:t>
      </w:r>
      <w:r w:rsidR="00BB24A0">
        <w:rPr>
          <w:szCs w:val="24"/>
        </w:rPr>
        <w:t xml:space="preserve"> or </w:t>
      </w:r>
      <w:r w:rsidR="005249FA">
        <w:rPr>
          <w:szCs w:val="24"/>
        </w:rPr>
        <w:t>assets acquired by SBITAs subject to GASB 96</w:t>
      </w:r>
      <w:r w:rsidRPr="0099749D">
        <w:rPr>
          <w:szCs w:val="24"/>
        </w:rPr>
        <w:t xml:space="preserve"> are capital assets of the State, even if the State does not legally own them.  Agencies should include these assets in the official book of record (SCEIS) for inclusion in the State’s financial statements.  A </w:t>
      </w:r>
      <w:r w:rsidRPr="0099749D">
        <w:rPr>
          <w:szCs w:val="24"/>
          <w:u w:val="single"/>
        </w:rPr>
        <w:t>lease</w:t>
      </w:r>
      <w:r w:rsidRPr="0099749D">
        <w:rPr>
          <w:szCs w:val="24"/>
        </w:rPr>
        <w:t xml:space="preserve"> transfers substantially all the benefits and risks of asset ownership to the State.  </w:t>
      </w:r>
      <w:r w:rsidR="005B58E4" w:rsidRPr="0099749D">
        <w:rPr>
          <w:szCs w:val="24"/>
        </w:rPr>
        <w:t xml:space="preserve">Determining whether a lease is a </w:t>
      </w:r>
      <w:r w:rsidR="00024412">
        <w:rPr>
          <w:szCs w:val="24"/>
        </w:rPr>
        <w:t xml:space="preserve">GASB 87 </w:t>
      </w:r>
      <w:r w:rsidR="005B58E4" w:rsidRPr="0099749D">
        <w:rPr>
          <w:szCs w:val="24"/>
        </w:rPr>
        <w:t xml:space="preserve">lease </w:t>
      </w:r>
      <w:r w:rsidR="005249FA">
        <w:rPr>
          <w:szCs w:val="24"/>
        </w:rPr>
        <w:t xml:space="preserve">or whether a SBITA is a GASB 96 SBITA </w:t>
      </w:r>
      <w:r w:rsidR="005B58E4" w:rsidRPr="0099749D">
        <w:rPr>
          <w:szCs w:val="24"/>
        </w:rPr>
        <w:t>requires judgment.</w:t>
      </w:r>
      <w:r w:rsidR="005B58E4">
        <w:rPr>
          <w:szCs w:val="24"/>
        </w:rPr>
        <w:t xml:space="preserve">  See </w:t>
      </w:r>
      <w:r w:rsidR="005B58E4">
        <w:rPr>
          <w:szCs w:val="24"/>
        </w:rPr>
        <w:br/>
        <w:t>Section _.</w:t>
      </w:r>
      <w:r w:rsidR="00460788">
        <w:rPr>
          <w:szCs w:val="24"/>
        </w:rPr>
        <w:t>9 for the criteria required for classification of a</w:t>
      </w:r>
      <w:r w:rsidR="00460788" w:rsidRPr="0099749D">
        <w:rPr>
          <w:szCs w:val="24"/>
        </w:rPr>
        <w:t xml:space="preserve"> </w:t>
      </w:r>
      <w:r w:rsidR="00CE139B">
        <w:rPr>
          <w:szCs w:val="24"/>
        </w:rPr>
        <w:t>lease subject to GASB 87</w:t>
      </w:r>
      <w:r w:rsidR="00460788">
        <w:rPr>
          <w:szCs w:val="24"/>
        </w:rPr>
        <w:t xml:space="preserve"> and other additional guidance.</w:t>
      </w:r>
      <w:r w:rsidR="00460788" w:rsidRPr="0099749D">
        <w:rPr>
          <w:szCs w:val="24"/>
        </w:rPr>
        <w:t xml:space="preserve"> </w:t>
      </w:r>
      <w:r w:rsidR="00460788">
        <w:rPr>
          <w:szCs w:val="24"/>
        </w:rPr>
        <w:t xml:space="preserve"> </w:t>
      </w:r>
      <w:r w:rsidR="00BB24A0">
        <w:rPr>
          <w:szCs w:val="24"/>
        </w:rPr>
        <w:t>See Section _.11 for the criteria required for classification of a</w:t>
      </w:r>
      <w:r w:rsidR="00BB24A0" w:rsidRPr="0099749D">
        <w:rPr>
          <w:szCs w:val="24"/>
        </w:rPr>
        <w:t xml:space="preserve"> </w:t>
      </w:r>
      <w:r w:rsidR="005249FA">
        <w:rPr>
          <w:szCs w:val="24"/>
        </w:rPr>
        <w:t>SBITA</w:t>
      </w:r>
      <w:r w:rsidR="00BB24A0">
        <w:rPr>
          <w:szCs w:val="24"/>
        </w:rPr>
        <w:t xml:space="preserve"> subject to GASB </w:t>
      </w:r>
      <w:r w:rsidR="005249FA">
        <w:rPr>
          <w:szCs w:val="24"/>
        </w:rPr>
        <w:t>96</w:t>
      </w:r>
      <w:r w:rsidR="00BB24A0">
        <w:rPr>
          <w:szCs w:val="24"/>
        </w:rPr>
        <w:t xml:space="preserve"> and other additional guidance.</w:t>
      </w:r>
      <w:r w:rsidR="00BB24A0" w:rsidRPr="0099749D">
        <w:rPr>
          <w:szCs w:val="24"/>
        </w:rPr>
        <w:t xml:space="preserve"> </w:t>
      </w:r>
      <w:r w:rsidR="00BB24A0">
        <w:rPr>
          <w:szCs w:val="24"/>
        </w:rPr>
        <w:t xml:space="preserve"> </w:t>
      </w:r>
    </w:p>
    <w:p w14:paraId="3240A3B7" w14:textId="1BA595F1" w:rsidR="00914D43" w:rsidRDefault="005373B0" w:rsidP="00851CA5">
      <w:pPr>
        <w:spacing w:before="60" w:after="60"/>
        <w:rPr>
          <w:szCs w:val="24"/>
        </w:rPr>
      </w:pPr>
      <w:r w:rsidRPr="0099749D">
        <w:rPr>
          <w:szCs w:val="24"/>
        </w:rPr>
        <w:t xml:space="preserve">The book value of a capital asset acquired by a lease </w:t>
      </w:r>
      <w:r w:rsidR="005249FA">
        <w:rPr>
          <w:szCs w:val="24"/>
        </w:rPr>
        <w:t xml:space="preserve">or SBITA </w:t>
      </w:r>
      <w:r w:rsidRPr="0099749D">
        <w:rPr>
          <w:szCs w:val="24"/>
        </w:rPr>
        <w:t xml:space="preserve">is </w:t>
      </w:r>
      <w:r w:rsidR="00FA5487">
        <w:rPr>
          <w:szCs w:val="24"/>
        </w:rPr>
        <w:t>equal to t</w:t>
      </w:r>
      <w:r w:rsidRPr="0099749D">
        <w:rPr>
          <w:szCs w:val="24"/>
        </w:rPr>
        <w:t>he present value of the future lease payments.</w:t>
      </w:r>
      <w:r w:rsidR="00FA5487">
        <w:rPr>
          <w:szCs w:val="24"/>
        </w:rPr>
        <w:t xml:space="preserve"> </w:t>
      </w:r>
      <w:r w:rsidRPr="00FA5487">
        <w:rPr>
          <w:szCs w:val="24"/>
        </w:rPr>
        <w:t xml:space="preserve">Depreciation of leased assets depend on </w:t>
      </w:r>
      <w:r w:rsidR="00DA68DB" w:rsidRPr="00FA5487">
        <w:rPr>
          <w:szCs w:val="24"/>
        </w:rPr>
        <w:t>the</w:t>
      </w:r>
      <w:r w:rsidRPr="00FA5487">
        <w:rPr>
          <w:szCs w:val="24"/>
        </w:rPr>
        <w:t xml:space="preserve"> criteria </w:t>
      </w:r>
      <w:r w:rsidR="00774A9E" w:rsidRPr="00FA5487">
        <w:rPr>
          <w:szCs w:val="24"/>
        </w:rPr>
        <w:t xml:space="preserve">(see Section _.9) </w:t>
      </w:r>
      <w:r w:rsidRPr="00FA5487">
        <w:rPr>
          <w:szCs w:val="24"/>
        </w:rPr>
        <w:t xml:space="preserve">used to determine </w:t>
      </w:r>
      <w:r w:rsidR="00797390" w:rsidRPr="00851CA5">
        <w:rPr>
          <w:szCs w:val="24"/>
        </w:rPr>
        <w:t xml:space="preserve">the term of </w:t>
      </w:r>
      <w:r w:rsidRPr="00FA5487">
        <w:rPr>
          <w:szCs w:val="24"/>
        </w:rPr>
        <w:t xml:space="preserve">the lease </w:t>
      </w:r>
      <w:r w:rsidR="00DA68DB" w:rsidRPr="00FA5487">
        <w:rPr>
          <w:szCs w:val="24"/>
        </w:rPr>
        <w:t>subject to GASB 87</w:t>
      </w:r>
      <w:r w:rsidR="005249FA">
        <w:rPr>
          <w:szCs w:val="24"/>
        </w:rPr>
        <w:t xml:space="preserve"> or the criteria (see Section _.11) used to determine the term of the SBITA subject to GASB 96</w:t>
      </w:r>
      <w:r w:rsidRPr="00FA5487">
        <w:rPr>
          <w:szCs w:val="24"/>
        </w:rPr>
        <w:t xml:space="preserve">.  </w:t>
      </w:r>
      <w:r w:rsidR="00737516">
        <w:rPr>
          <w:szCs w:val="24"/>
        </w:rPr>
        <w:t>Capital assets subject to GASB 87 or 96</w:t>
      </w:r>
      <w:r w:rsidR="00797390" w:rsidRPr="00737516">
        <w:rPr>
          <w:szCs w:val="24"/>
        </w:rPr>
        <w:t xml:space="preserve"> should be amortized over the shorter of the lease term or the useful life of the underlying asset.</w:t>
      </w:r>
      <w:r w:rsidR="00797390" w:rsidRPr="00851CA5">
        <w:rPr>
          <w:szCs w:val="24"/>
        </w:rPr>
        <w:t xml:space="preserve"> </w:t>
      </w:r>
    </w:p>
    <w:p w14:paraId="74D55F45" w14:textId="77777777" w:rsidR="006E09D9" w:rsidRPr="0099749D" w:rsidRDefault="006E09D9" w:rsidP="006E09D9">
      <w:pPr>
        <w:pStyle w:val="Heading3"/>
      </w:pPr>
      <w:bookmarkStart w:id="257" w:name="_Toc296247832"/>
      <w:bookmarkStart w:id="258" w:name="_Toc166149262"/>
      <w:r>
        <w:t>Depreciation</w:t>
      </w:r>
      <w:bookmarkEnd w:id="257"/>
      <w:bookmarkEnd w:id="258"/>
    </w:p>
    <w:p w14:paraId="38B4D852" w14:textId="77777777" w:rsidR="005373B0" w:rsidRPr="0099749D" w:rsidRDefault="005373B0" w:rsidP="002513F7">
      <w:pPr>
        <w:pStyle w:val="Heading4"/>
      </w:pPr>
      <w:r w:rsidRPr="0099749D">
        <w:t xml:space="preserve">Straight-Line Method of Depreciation  </w:t>
      </w:r>
    </w:p>
    <w:p w14:paraId="0CDB9E2E" w14:textId="77777777" w:rsidR="005373B0" w:rsidRPr="0099749D" w:rsidRDefault="005373B0" w:rsidP="005373B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The State will record depreciation for its depreciable capital assets using the straight-line method</w:t>
      </w:r>
      <w:r w:rsidR="001D3E8E">
        <w:rPr>
          <w:rStyle w:val="FootnoteReference"/>
          <w:szCs w:val="24"/>
        </w:rPr>
        <w:footnoteReference w:id="29"/>
      </w:r>
      <w:r w:rsidRPr="0099749D">
        <w:rPr>
          <w:szCs w:val="24"/>
        </w:rPr>
        <w:t xml:space="preserve"> over the asset’s useful life.  Agencies must use straight-line depreciation.  Salvage value should not be considered in the calculation of depreciation unless it is substantial.</w:t>
      </w:r>
    </w:p>
    <w:p w14:paraId="604FFCC3" w14:textId="77777777" w:rsidR="005373B0" w:rsidRPr="0099749D" w:rsidRDefault="005373B0" w:rsidP="002513F7">
      <w:pPr>
        <w:pStyle w:val="Heading8"/>
      </w:pPr>
      <w:r w:rsidRPr="0099749D">
        <w:t xml:space="preserve">Selection of Useful Life </w:t>
      </w:r>
      <w:r w:rsidR="009A0531" w:rsidRPr="0099749D">
        <w:t>for</w:t>
      </w:r>
      <w:r w:rsidRPr="0099749D">
        <w:t xml:space="preserve"> Depreciation Purposes  </w:t>
      </w:r>
    </w:p>
    <w:p w14:paraId="77A0AB90" w14:textId="3A75F1BA"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 xml:space="preserve">The useful life </w:t>
      </w:r>
      <w:r w:rsidR="005B58E4">
        <w:rPr>
          <w:szCs w:val="24"/>
        </w:rPr>
        <w:t>cho</w:t>
      </w:r>
      <w:r w:rsidRPr="0099749D">
        <w:rPr>
          <w:szCs w:val="24"/>
        </w:rPr>
        <w:t>se</w:t>
      </w:r>
      <w:r w:rsidR="005B58E4">
        <w:rPr>
          <w:szCs w:val="24"/>
        </w:rPr>
        <w:t>n</w:t>
      </w:r>
      <w:r w:rsidRPr="0099749D">
        <w:rPr>
          <w:szCs w:val="24"/>
        </w:rPr>
        <w:t xml:space="preserve"> should fall within the range provided in Exhibit 3.8(B) for the </w:t>
      </w:r>
      <w:proofErr w:type="gramStart"/>
      <w:r w:rsidRPr="0099749D">
        <w:rPr>
          <w:szCs w:val="24"/>
        </w:rPr>
        <w:t>particular type of asset</w:t>
      </w:r>
      <w:proofErr w:type="gramEnd"/>
      <w:r w:rsidRPr="0099749D">
        <w:rPr>
          <w:szCs w:val="24"/>
        </w:rPr>
        <w:t xml:space="preserve"> and should be expressed in a whole number of years.  If </w:t>
      </w:r>
      <w:r w:rsidR="00C17377">
        <w:rPr>
          <w:szCs w:val="24"/>
        </w:rPr>
        <w:t xml:space="preserve">an asset’s useful life identified by the agency does not fall within </w:t>
      </w:r>
      <w:r w:rsidRPr="0099749D">
        <w:rPr>
          <w:szCs w:val="24"/>
        </w:rPr>
        <w:t xml:space="preserve">the range of useful lives for </w:t>
      </w:r>
      <w:r w:rsidR="009A0531" w:rsidRPr="0099749D">
        <w:rPr>
          <w:szCs w:val="24"/>
        </w:rPr>
        <w:t>an</w:t>
      </w:r>
      <w:r w:rsidRPr="0099749D">
        <w:rPr>
          <w:szCs w:val="24"/>
        </w:rPr>
        <w:t xml:space="preserve"> asset </w:t>
      </w:r>
      <w:r w:rsidR="00C17377">
        <w:rPr>
          <w:szCs w:val="24"/>
        </w:rPr>
        <w:t xml:space="preserve">category </w:t>
      </w:r>
      <w:r w:rsidRPr="0099749D">
        <w:rPr>
          <w:szCs w:val="24"/>
        </w:rPr>
        <w:t xml:space="preserve">as listed </w:t>
      </w:r>
      <w:r w:rsidR="00737516">
        <w:rPr>
          <w:szCs w:val="24"/>
        </w:rPr>
        <w:t>in Exhibit 3.8(B)</w:t>
      </w:r>
      <w:r w:rsidRPr="0099749D">
        <w:rPr>
          <w:szCs w:val="24"/>
        </w:rPr>
        <w:t xml:space="preserve">, please contact the Comptroller General’s Office </w:t>
      </w:r>
      <w:r w:rsidR="00C17377">
        <w:rPr>
          <w:szCs w:val="24"/>
        </w:rPr>
        <w:t xml:space="preserve">to request approval for an exception.  </w:t>
      </w:r>
    </w:p>
    <w:p w14:paraId="69E2B4A3" w14:textId="52694BA2" w:rsidR="005373B0" w:rsidRPr="0099749D"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99749D">
        <w:rPr>
          <w:szCs w:val="24"/>
        </w:rPr>
        <w:t xml:space="preserve">If </w:t>
      </w:r>
      <w:r w:rsidR="00C17377">
        <w:rPr>
          <w:szCs w:val="24"/>
        </w:rPr>
        <w:t xml:space="preserve">a </w:t>
      </w:r>
      <w:r w:rsidR="00737516">
        <w:rPr>
          <w:szCs w:val="24"/>
        </w:rPr>
        <w:t>capital asset</w:t>
      </w:r>
      <w:r w:rsidR="00C17377">
        <w:rPr>
          <w:szCs w:val="24"/>
        </w:rPr>
        <w:t xml:space="preserve"> is </w:t>
      </w:r>
      <w:r w:rsidRPr="0099749D">
        <w:rPr>
          <w:szCs w:val="24"/>
        </w:rPr>
        <w:t xml:space="preserve">not listed </w:t>
      </w:r>
      <w:r w:rsidR="00737516">
        <w:rPr>
          <w:szCs w:val="24"/>
        </w:rPr>
        <w:t>in Exhibit 3.8(B)</w:t>
      </w:r>
      <w:r w:rsidRPr="0099749D">
        <w:rPr>
          <w:szCs w:val="24"/>
        </w:rPr>
        <w:t xml:space="preserve">, please select a useful life that falls within the range provided for the broad category of capital assets under which the asset in question will be reported.  </w:t>
      </w:r>
      <w:r w:rsidR="00737516">
        <w:rPr>
          <w:szCs w:val="24"/>
        </w:rPr>
        <w:t>Please contact</w:t>
      </w:r>
      <w:r w:rsidR="009A0531">
        <w:rPr>
          <w:szCs w:val="24"/>
        </w:rPr>
        <w:t xml:space="preserve"> </w:t>
      </w:r>
      <w:r w:rsidR="00B57742">
        <w:rPr>
          <w:szCs w:val="24"/>
        </w:rPr>
        <w:t xml:space="preserve">the </w:t>
      </w:r>
      <w:r w:rsidR="009A0531">
        <w:rPr>
          <w:szCs w:val="24"/>
        </w:rPr>
        <w:t xml:space="preserve">Comptroller General's Office </w:t>
      </w:r>
      <w:r w:rsidR="00B57742">
        <w:rPr>
          <w:szCs w:val="24"/>
        </w:rPr>
        <w:t>if you need help identifying</w:t>
      </w:r>
      <w:r w:rsidR="009A0531">
        <w:rPr>
          <w:szCs w:val="24"/>
        </w:rPr>
        <w:t xml:space="preserve"> the broad category </w:t>
      </w:r>
      <w:r w:rsidR="00B57742">
        <w:rPr>
          <w:szCs w:val="24"/>
        </w:rPr>
        <w:t>of capital</w:t>
      </w:r>
      <w:r w:rsidR="009A0531">
        <w:rPr>
          <w:szCs w:val="24"/>
        </w:rPr>
        <w:t xml:space="preserve"> assets.  </w:t>
      </w:r>
      <w:r w:rsidR="00B57742" w:rsidRPr="003B02BA">
        <w:rPr>
          <w:b/>
          <w:bCs/>
          <w:szCs w:val="24"/>
        </w:rPr>
        <w:t>The</w:t>
      </w:r>
      <w:r w:rsidR="00B57742">
        <w:rPr>
          <w:szCs w:val="24"/>
        </w:rPr>
        <w:t xml:space="preserve"> </w:t>
      </w:r>
      <w:r w:rsidRPr="005D0457">
        <w:rPr>
          <w:b/>
          <w:iCs/>
          <w:szCs w:val="24"/>
        </w:rPr>
        <w:t>use of this procedure</w:t>
      </w:r>
      <w:r w:rsidR="00B57742">
        <w:rPr>
          <w:b/>
          <w:iCs/>
          <w:szCs w:val="24"/>
        </w:rPr>
        <w:t xml:space="preserve"> should be restricted</w:t>
      </w:r>
      <w:r w:rsidRPr="005D0457">
        <w:rPr>
          <w:b/>
          <w:iCs/>
          <w:szCs w:val="24"/>
        </w:rPr>
        <w:t xml:space="preserve"> to situations where the type of asset is not listed </w:t>
      </w:r>
      <w:r w:rsidR="00B57742">
        <w:rPr>
          <w:b/>
          <w:iCs/>
          <w:szCs w:val="24"/>
        </w:rPr>
        <w:t xml:space="preserve">in Exhibit </w:t>
      </w:r>
      <w:r w:rsidR="00B57742">
        <w:rPr>
          <w:b/>
          <w:iCs/>
          <w:szCs w:val="24"/>
        </w:rPr>
        <w:lastRenderedPageBreak/>
        <w:t>3.8(B)</w:t>
      </w:r>
      <w:r w:rsidRPr="005D0457">
        <w:rPr>
          <w:b/>
          <w:iCs/>
          <w:szCs w:val="24"/>
        </w:rPr>
        <w:t>.</w:t>
      </w:r>
      <w:r w:rsidRPr="0099749D">
        <w:rPr>
          <w:szCs w:val="24"/>
        </w:rPr>
        <w:t xml:space="preserve">  Also, when using this procedure, </w:t>
      </w:r>
      <w:r w:rsidR="00C17377">
        <w:rPr>
          <w:szCs w:val="24"/>
        </w:rPr>
        <w:t xml:space="preserve">documentation and justification </w:t>
      </w:r>
      <w:r w:rsidRPr="0099749D">
        <w:rPr>
          <w:szCs w:val="24"/>
        </w:rPr>
        <w:t xml:space="preserve">should </w:t>
      </w:r>
      <w:r w:rsidR="00C17377">
        <w:rPr>
          <w:szCs w:val="24"/>
        </w:rPr>
        <w:t xml:space="preserve">be </w:t>
      </w:r>
      <w:r w:rsidRPr="0099749D">
        <w:rPr>
          <w:szCs w:val="24"/>
        </w:rPr>
        <w:t>prepare</w:t>
      </w:r>
      <w:r w:rsidR="00C17377">
        <w:rPr>
          <w:szCs w:val="24"/>
        </w:rPr>
        <w:t>d</w:t>
      </w:r>
      <w:r w:rsidRPr="0099749D">
        <w:rPr>
          <w:szCs w:val="24"/>
        </w:rPr>
        <w:t xml:space="preserve"> and </w:t>
      </w:r>
      <w:r w:rsidR="00C17377">
        <w:rPr>
          <w:szCs w:val="24"/>
        </w:rPr>
        <w:t xml:space="preserve">retained as part of the permanent accounting records.  </w:t>
      </w:r>
    </w:p>
    <w:p w14:paraId="3938BED6" w14:textId="77777777" w:rsidR="005373B0" w:rsidRPr="0099749D" w:rsidRDefault="005373B0" w:rsidP="002513F7">
      <w:pPr>
        <w:pStyle w:val="Heading8"/>
      </w:pPr>
      <w:r w:rsidRPr="0099749D">
        <w:t xml:space="preserve">Re-Evaluation of Asset’s Useful Life  </w:t>
      </w:r>
    </w:p>
    <w:p w14:paraId="50FDE79D" w14:textId="77777777" w:rsidR="005373B0" w:rsidRPr="0099749D" w:rsidRDefault="00C17377" w:rsidP="005373B0">
      <w:pPr>
        <w:widowControl w:val="0"/>
        <w:spacing w:before="60" w:after="60"/>
        <w:rPr>
          <w:szCs w:val="24"/>
        </w:rPr>
      </w:pPr>
      <w:r>
        <w:rPr>
          <w:szCs w:val="24"/>
        </w:rPr>
        <w:t>A</w:t>
      </w:r>
      <w:r w:rsidR="005373B0" w:rsidRPr="0099749D">
        <w:rPr>
          <w:szCs w:val="24"/>
        </w:rPr>
        <w:t xml:space="preserve">fter an agency has placed a capital asset into service, the agency may realize that the asset will not last for the remaining assigned useful life.  </w:t>
      </w:r>
      <w:r>
        <w:rPr>
          <w:szCs w:val="24"/>
        </w:rPr>
        <w:t xml:space="preserve">A change in useful life may be due to underestimation of daily use, excessive repair occurrences, </w:t>
      </w:r>
      <w:r w:rsidR="005373B0" w:rsidRPr="0099749D">
        <w:rPr>
          <w:szCs w:val="24"/>
        </w:rPr>
        <w:t>damage to the asset</w:t>
      </w:r>
      <w:r w:rsidR="0088742B">
        <w:rPr>
          <w:szCs w:val="24"/>
        </w:rPr>
        <w:t>,</w:t>
      </w:r>
      <w:r w:rsidR="005373B0" w:rsidRPr="0099749D">
        <w:rPr>
          <w:szCs w:val="24"/>
        </w:rPr>
        <w:t xml:space="preserve"> or failure to perform periodic maintenance.  It is important for the useful life of an asset to approximate its true service life because the purpose of depreciation is to spread an asset’s cost over the </w:t>
      </w:r>
      <w:proofErr w:type="gramStart"/>
      <w:r w:rsidR="005373B0" w:rsidRPr="0099749D">
        <w:rPr>
          <w:szCs w:val="24"/>
        </w:rPr>
        <w:t>period of time</w:t>
      </w:r>
      <w:proofErr w:type="gramEnd"/>
      <w:r w:rsidR="005373B0" w:rsidRPr="0099749D">
        <w:rPr>
          <w:szCs w:val="24"/>
        </w:rPr>
        <w:t xml:space="preserve"> in which it is used.  Agencies are required to re-evaluate the useful lives of their reported assets annually and to adjust them </w:t>
      </w:r>
      <w:r w:rsidR="0088742B">
        <w:rPr>
          <w:szCs w:val="24"/>
        </w:rPr>
        <w:t>as needed</w:t>
      </w:r>
      <w:r w:rsidR="005373B0" w:rsidRPr="0099749D">
        <w:rPr>
          <w:szCs w:val="24"/>
        </w:rPr>
        <w:t xml:space="preserve"> to reflect the remaining service life.</w:t>
      </w:r>
    </w:p>
    <w:p w14:paraId="37AB6400" w14:textId="77777777" w:rsidR="005373B0" w:rsidRDefault="005373B0" w:rsidP="005373B0">
      <w:pPr>
        <w:spacing w:before="60"/>
        <w:rPr>
          <w:szCs w:val="24"/>
        </w:rPr>
      </w:pPr>
      <w:r w:rsidRPr="0099749D">
        <w:rPr>
          <w:szCs w:val="24"/>
        </w:rPr>
        <w:t>A change in the estimated useful life of a capital asset is considered a change in accounting estimate, which must be accounted for prospectively (i.e., the change in estimate is accounted for and reported in current and future periods).  The change should be reported as depreciation expense in the period identified unless the circumstances meet the definition of impairment</w:t>
      </w:r>
      <w:r w:rsidR="001D3E8E">
        <w:rPr>
          <w:rStyle w:val="FootnoteReference"/>
          <w:szCs w:val="24"/>
        </w:rPr>
        <w:footnoteReference w:id="30"/>
      </w:r>
      <w:r w:rsidRPr="0099749D">
        <w:rPr>
          <w:szCs w:val="24"/>
        </w:rPr>
        <w:t>.</w:t>
      </w:r>
      <w:r w:rsidR="0098709E">
        <w:rPr>
          <w:szCs w:val="24"/>
        </w:rPr>
        <w:t xml:space="preserve">  Please contact the Comptroller General's Office to assist in making the change in useful life.</w:t>
      </w:r>
    </w:p>
    <w:p w14:paraId="45283867" w14:textId="77777777" w:rsidR="006E09D9" w:rsidRPr="0099749D" w:rsidRDefault="006E09D9" w:rsidP="006E09D9">
      <w:pPr>
        <w:pStyle w:val="Heading3"/>
      </w:pPr>
      <w:bookmarkStart w:id="259" w:name="_Toc296247833"/>
      <w:bookmarkStart w:id="260" w:name="_Toc166149263"/>
      <w:r>
        <w:t>Reporting of Assets</w:t>
      </w:r>
      <w:bookmarkEnd w:id="259"/>
      <w:bookmarkEnd w:id="260"/>
    </w:p>
    <w:p w14:paraId="3308B08B" w14:textId="77777777" w:rsidR="005373B0" w:rsidRPr="0099749D" w:rsidRDefault="005373B0" w:rsidP="002513F7">
      <w:pPr>
        <w:pStyle w:val="Heading4"/>
      </w:pPr>
      <w:r w:rsidRPr="0099749D">
        <w:t>Classifications of Capital and Related Assets</w:t>
      </w:r>
    </w:p>
    <w:p w14:paraId="6F699843" w14:textId="13AF562E" w:rsidR="005373B0" w:rsidRPr="0099749D" w:rsidRDefault="005373B0" w:rsidP="002513F7">
      <w:r w:rsidRPr="002513F7">
        <w:rPr>
          <w:b/>
        </w:rPr>
        <w:t>The State of South Carolina’s primary government will report only the Department of Transportation’s roads and bridges as Infrastructure in the State’s financial statements.</w:t>
      </w:r>
      <w:r w:rsidRPr="0099749D">
        <w:t xml:space="preserve">  </w:t>
      </w:r>
      <w:r w:rsidRPr="002513F7">
        <w:t xml:space="preserve">Therefore, other agencies </w:t>
      </w:r>
      <w:r w:rsidR="008D0883">
        <w:t>should not</w:t>
      </w:r>
      <w:r w:rsidRPr="002513F7">
        <w:t xml:space="preserve"> report a balance in the </w:t>
      </w:r>
      <w:proofErr w:type="gramStart"/>
      <w:r w:rsidRPr="002513F7">
        <w:t>Infrastructure</w:t>
      </w:r>
      <w:proofErr w:type="gramEnd"/>
      <w:r w:rsidRPr="002513F7">
        <w:t xml:space="preserve"> category.  If an asset appears to meet the definition of infrastructure</w:t>
      </w:r>
      <w:r w:rsidR="001D3E8E">
        <w:rPr>
          <w:rStyle w:val="FootnoteReference"/>
          <w:szCs w:val="24"/>
        </w:rPr>
        <w:footnoteReference w:id="31"/>
      </w:r>
      <w:r w:rsidRPr="002513F7">
        <w:t>, it should be reported as Depreciable Land Improvements or as Buildings and Improvements.  Agencies should choose the Buildings and Improvements category if the asset is associated with a particular building or group of buildings.  In contrast, agencies should use the Depreciable Land Improvements category if the asset would continue to retain its usefulness without the presence of an</w:t>
      </w:r>
      <w:r w:rsidR="001A6009">
        <w:t>y</w:t>
      </w:r>
      <w:r w:rsidRPr="002513F7">
        <w:t xml:space="preserve"> existing building</w:t>
      </w:r>
      <w:r w:rsidR="001A6009">
        <w:t>s</w:t>
      </w:r>
      <w:r w:rsidRPr="002513F7">
        <w:t>.</w:t>
      </w:r>
    </w:p>
    <w:p w14:paraId="41034564" w14:textId="6378C490" w:rsidR="005373B0" w:rsidRPr="0099749D" w:rsidRDefault="005373B0" w:rsidP="005373B0">
      <w:pPr>
        <w:rPr>
          <w:szCs w:val="24"/>
        </w:rPr>
      </w:pPr>
      <w:r w:rsidRPr="0099749D">
        <w:rPr>
          <w:szCs w:val="24"/>
        </w:rPr>
        <w:t xml:space="preserve">Equipment that becomes a permanent fixture of a </w:t>
      </w:r>
      <w:r w:rsidR="00362166">
        <w:rPr>
          <w:szCs w:val="24"/>
        </w:rPr>
        <w:t>building</w:t>
      </w:r>
      <w:r w:rsidRPr="0099749D">
        <w:rPr>
          <w:szCs w:val="24"/>
        </w:rPr>
        <w:t xml:space="preserve"> and is not easily separable from the building should be recorded in Buildings and Improvements; otherwise, it should be recorded in Machinery and Equipment.  </w:t>
      </w:r>
    </w:p>
    <w:p w14:paraId="3589DB54" w14:textId="77777777" w:rsidR="005373B0" w:rsidRPr="0099749D" w:rsidRDefault="005373B0" w:rsidP="005373B0">
      <w:pPr>
        <w:rPr>
          <w:szCs w:val="24"/>
        </w:rPr>
      </w:pPr>
      <w:r w:rsidRPr="0099749D">
        <w:rPr>
          <w:szCs w:val="24"/>
        </w:rPr>
        <w:t xml:space="preserve">Breeding livestock should be reported as Machinery and Equipment.  </w:t>
      </w:r>
    </w:p>
    <w:p w14:paraId="04B002BB" w14:textId="77777777" w:rsidR="005373B0" w:rsidRPr="0099749D" w:rsidRDefault="005373B0" w:rsidP="005373B0">
      <w:pPr>
        <w:rPr>
          <w:szCs w:val="24"/>
        </w:rPr>
      </w:pPr>
      <w:r w:rsidRPr="0099749D">
        <w:rPr>
          <w:szCs w:val="24"/>
        </w:rPr>
        <w:t>The State’s policy is to report its Vehicles separately from other types of Machinery and Equipment.</w:t>
      </w:r>
    </w:p>
    <w:p w14:paraId="6F6571E8" w14:textId="199F8681" w:rsidR="005373B0" w:rsidRDefault="005373B0" w:rsidP="005373B0">
      <w:pPr>
        <w:rPr>
          <w:szCs w:val="24"/>
        </w:rPr>
      </w:pPr>
      <w:r w:rsidRPr="0099749D">
        <w:rPr>
          <w:szCs w:val="24"/>
        </w:rPr>
        <w:t>Low Value Assets</w:t>
      </w:r>
      <w:r w:rsidR="001D3E8E">
        <w:rPr>
          <w:rStyle w:val="FootnoteReference"/>
          <w:szCs w:val="24"/>
        </w:rPr>
        <w:footnoteReference w:id="32"/>
      </w:r>
      <w:r w:rsidRPr="0099749D">
        <w:rPr>
          <w:szCs w:val="24"/>
        </w:rPr>
        <w:t xml:space="preserve"> </w:t>
      </w:r>
      <w:r w:rsidR="00362166">
        <w:rPr>
          <w:szCs w:val="24"/>
        </w:rPr>
        <w:t>are</w:t>
      </w:r>
      <w:r w:rsidRPr="0099749D">
        <w:rPr>
          <w:szCs w:val="24"/>
        </w:rPr>
        <w:t xml:space="preserve"> not included in the State’s Financial Statements but should be </w:t>
      </w:r>
      <w:r w:rsidR="00CE7B79">
        <w:rPr>
          <w:szCs w:val="24"/>
        </w:rPr>
        <w:t>recorded for</w:t>
      </w:r>
      <w:r w:rsidRPr="0099749D">
        <w:rPr>
          <w:szCs w:val="24"/>
        </w:rPr>
        <w:t xml:space="preserve"> control purposes.  The</w:t>
      </w:r>
      <w:r w:rsidR="00CE7B79">
        <w:rPr>
          <w:szCs w:val="24"/>
        </w:rPr>
        <w:t xml:space="preserve"> recording</w:t>
      </w:r>
      <w:r w:rsidRPr="0099749D">
        <w:rPr>
          <w:szCs w:val="24"/>
        </w:rPr>
        <w:t xml:space="preserve"> of these assets should be performed through system functionality within SCEIS.  Moveable Low Value Assets are items costing between $</w:t>
      </w:r>
      <w:r w:rsidR="002729B3">
        <w:rPr>
          <w:szCs w:val="24"/>
        </w:rPr>
        <w:t>2</w:t>
      </w:r>
      <w:r w:rsidRPr="0099749D">
        <w:rPr>
          <w:szCs w:val="24"/>
        </w:rPr>
        <w:t>,</w:t>
      </w:r>
      <w:r w:rsidR="002729B3">
        <w:rPr>
          <w:szCs w:val="24"/>
        </w:rPr>
        <w:t>5</w:t>
      </w:r>
      <w:r w:rsidRPr="0099749D">
        <w:rPr>
          <w:szCs w:val="24"/>
        </w:rPr>
        <w:t xml:space="preserve">00 and $5,000 that are susceptible to loss, misuse, and theft and should be tagged and included in the annual physical count.  </w:t>
      </w:r>
      <w:r w:rsidR="0088742B">
        <w:rPr>
          <w:szCs w:val="24"/>
        </w:rPr>
        <w:t xml:space="preserve">Buildings below </w:t>
      </w:r>
      <w:r w:rsidR="0088742B">
        <w:rPr>
          <w:szCs w:val="24"/>
        </w:rPr>
        <w:lastRenderedPageBreak/>
        <w:t>$100,000 do not have to be tagged</w:t>
      </w:r>
      <w:r w:rsidR="00CE7B79">
        <w:rPr>
          <w:szCs w:val="24"/>
        </w:rPr>
        <w:t xml:space="preserve"> or included in the annual physical </w:t>
      </w:r>
      <w:proofErr w:type="gramStart"/>
      <w:r w:rsidR="00CE7B79">
        <w:rPr>
          <w:szCs w:val="24"/>
        </w:rPr>
        <w:t>count,</w:t>
      </w:r>
      <w:r w:rsidR="008868DC">
        <w:rPr>
          <w:szCs w:val="24"/>
        </w:rPr>
        <w:t xml:space="preserve"> </w:t>
      </w:r>
      <w:r w:rsidR="0088742B">
        <w:rPr>
          <w:szCs w:val="24"/>
        </w:rPr>
        <w:t>but</w:t>
      </w:r>
      <w:proofErr w:type="gramEnd"/>
      <w:r w:rsidR="0088742B">
        <w:rPr>
          <w:szCs w:val="24"/>
        </w:rPr>
        <w:t xml:space="preserve"> should be </w:t>
      </w:r>
      <w:r w:rsidR="00CE7B79">
        <w:rPr>
          <w:szCs w:val="24"/>
        </w:rPr>
        <w:t xml:space="preserve">recorded </w:t>
      </w:r>
      <w:r w:rsidR="0088742B">
        <w:rPr>
          <w:szCs w:val="24"/>
        </w:rPr>
        <w:t>in SCEIS.</w:t>
      </w:r>
      <w:r w:rsidR="008868DC">
        <w:rPr>
          <w:szCs w:val="24"/>
        </w:rPr>
        <w:t xml:space="preserve"> Building improvements and depreciable land improvements below $100,000 are not required to be recorded in SCEIS, but agencies may still elect to record these items as low value assets in SCEIS. </w:t>
      </w:r>
    </w:p>
    <w:p w14:paraId="21CFD768" w14:textId="77777777" w:rsidR="00615293" w:rsidRDefault="00615293" w:rsidP="005373B0">
      <w:pPr>
        <w:rPr>
          <w:szCs w:val="24"/>
        </w:rPr>
      </w:pPr>
    </w:p>
    <w:p w14:paraId="3D8769A7" w14:textId="77777777" w:rsidR="00A60093" w:rsidRDefault="00A60093" w:rsidP="006E09D9">
      <w:pPr>
        <w:pStyle w:val="Heading4"/>
      </w:pPr>
      <w:r w:rsidRPr="008F4048">
        <w:t xml:space="preserve">Works of Art and Historical Treasures.  </w:t>
      </w:r>
    </w:p>
    <w:p w14:paraId="0EED0057" w14:textId="77777777" w:rsidR="00A60093" w:rsidRPr="008F4048" w:rsidRDefault="00A60093" w:rsidP="00A6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8F4048">
        <w:rPr>
          <w:szCs w:val="24"/>
        </w:rPr>
        <w:t xml:space="preserve">The requirements of GAAP regarding capitalization and depreciation of </w:t>
      </w:r>
      <w:r w:rsidRPr="008F4048">
        <w:rPr>
          <w:i/>
          <w:iCs/>
          <w:szCs w:val="24"/>
          <w:u w:val="single"/>
        </w:rPr>
        <w:t>individual</w:t>
      </w:r>
      <w:r w:rsidRPr="008F4048">
        <w:rPr>
          <w:szCs w:val="24"/>
        </w:rPr>
        <w:t xml:space="preserve"> works of art and historical treasures differ from the requirements for </w:t>
      </w:r>
      <w:r w:rsidRPr="008F4048">
        <w:rPr>
          <w:i/>
          <w:iCs/>
          <w:szCs w:val="24"/>
          <w:u w:val="single"/>
        </w:rPr>
        <w:t>collections</w:t>
      </w:r>
      <w:r w:rsidRPr="008F4048">
        <w:rPr>
          <w:szCs w:val="24"/>
        </w:rPr>
        <w:t xml:space="preserve"> of such items.  The following outlines the State’s policies for meeting the GAAP requirements:</w:t>
      </w:r>
    </w:p>
    <w:p w14:paraId="3532C6D3" w14:textId="77777777" w:rsidR="00A60093" w:rsidRPr="008F4048" w:rsidRDefault="00A60093" w:rsidP="005C2F33">
      <w:pPr>
        <w:pStyle w:val="ListParagraph"/>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Cs w:val="24"/>
        </w:rPr>
      </w:pPr>
      <w:r w:rsidRPr="008F4048">
        <w:rPr>
          <w:szCs w:val="24"/>
        </w:rPr>
        <w:t xml:space="preserve">Individual works of art or historical treasures must be capitalized if the acquisition value exceeds $5,000.  Agencies must record depreciation on exhaustible individual works or treasures (as defined above).  </w:t>
      </w:r>
    </w:p>
    <w:p w14:paraId="78024F7C" w14:textId="77777777" w:rsidR="00A60093" w:rsidRPr="008F4048" w:rsidRDefault="00A60093" w:rsidP="005C2F33">
      <w:pPr>
        <w:pStyle w:val="ListParagraph"/>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Cs w:val="24"/>
        </w:rPr>
      </w:pPr>
      <w:r w:rsidRPr="008F4048">
        <w:rPr>
          <w:szCs w:val="24"/>
        </w:rPr>
        <w:t xml:space="preserve">Additions to capitalized collections of works of art or historical treasures acquired prior to </w:t>
      </w:r>
      <w:r w:rsidR="00AD33F9">
        <w:rPr>
          <w:szCs w:val="24"/>
        </w:rPr>
        <w:br/>
      </w:r>
      <w:r w:rsidRPr="008F4048">
        <w:rPr>
          <w:szCs w:val="24"/>
        </w:rPr>
        <w:t xml:space="preserve">June 30, </w:t>
      </w:r>
      <w:proofErr w:type="gramStart"/>
      <w:r w:rsidRPr="008F4048">
        <w:rPr>
          <w:szCs w:val="24"/>
        </w:rPr>
        <w:t>1999</w:t>
      </w:r>
      <w:proofErr w:type="gramEnd"/>
      <w:r w:rsidRPr="008F4048">
        <w:rPr>
          <w:szCs w:val="24"/>
        </w:rPr>
        <w:t xml:space="preserve"> should meet the individual item threshold of $5,000.  </w:t>
      </w:r>
    </w:p>
    <w:p w14:paraId="0BB04927" w14:textId="77777777" w:rsidR="00A60093" w:rsidRPr="008F4048" w:rsidRDefault="00A60093" w:rsidP="005C2F33">
      <w:pPr>
        <w:pStyle w:val="ListParagraph"/>
        <w:keepLines/>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630"/>
        <w:rPr>
          <w:szCs w:val="24"/>
        </w:rPr>
      </w:pPr>
      <w:r w:rsidRPr="008F4048">
        <w:rPr>
          <w:szCs w:val="24"/>
        </w:rPr>
        <w:t xml:space="preserve">A collection should be evaluated </w:t>
      </w:r>
      <w:proofErr w:type="gramStart"/>
      <w:r w:rsidRPr="008F4048">
        <w:rPr>
          <w:szCs w:val="24"/>
        </w:rPr>
        <w:t>as a whole for</w:t>
      </w:r>
      <w:proofErr w:type="gramEnd"/>
      <w:r w:rsidRPr="008F4048">
        <w:rPr>
          <w:szCs w:val="24"/>
        </w:rPr>
        <w:t xml:space="preserve"> capitalization only if the individual cost of collection items cannot be easily determined.  The $5,000 threshold would apply if it </w:t>
      </w:r>
      <w:proofErr w:type="gramStart"/>
      <w:r w:rsidRPr="008F4048">
        <w:rPr>
          <w:szCs w:val="24"/>
        </w:rPr>
        <w:t>is</w:t>
      </w:r>
      <w:proofErr w:type="gramEnd"/>
      <w:r w:rsidRPr="008F4048">
        <w:rPr>
          <w:szCs w:val="24"/>
        </w:rPr>
        <w:t xml:space="preserve"> evaluated as a whole.  </w:t>
      </w:r>
    </w:p>
    <w:p w14:paraId="04F30F73" w14:textId="77777777" w:rsidR="00A60093" w:rsidRPr="008F4048" w:rsidRDefault="00A60093" w:rsidP="005C2F33">
      <w:pPr>
        <w:pStyle w:val="ListParagraph"/>
        <w:keepNext/>
        <w:keepLines/>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634"/>
        <w:rPr>
          <w:szCs w:val="24"/>
        </w:rPr>
      </w:pPr>
      <w:r w:rsidRPr="008F4048">
        <w:rPr>
          <w:szCs w:val="24"/>
        </w:rPr>
        <w:t xml:space="preserve">A collection not capitalized as of June 30, 1999, is not required to be capitalized if it meets </w:t>
      </w:r>
      <w:r w:rsidRPr="008F4048">
        <w:rPr>
          <w:szCs w:val="24"/>
          <w:u w:val="single"/>
        </w:rPr>
        <w:t>all three</w:t>
      </w:r>
      <w:r w:rsidRPr="008F4048">
        <w:rPr>
          <w:szCs w:val="24"/>
        </w:rPr>
        <w:t xml:space="preserve"> of the following conditions:</w:t>
      </w:r>
    </w:p>
    <w:p w14:paraId="7BA45DAE" w14:textId="77777777" w:rsidR="00A60093" w:rsidRPr="008F4048" w:rsidRDefault="00A60093" w:rsidP="00EF39D1">
      <w:pPr>
        <w:pStyle w:val="BodyTextIndent2"/>
        <w:keepLines/>
        <w:widowControl w:val="0"/>
        <w:spacing w:before="0" w:after="0"/>
        <w:ind w:left="1440" w:hanging="360"/>
        <w:rPr>
          <w:szCs w:val="24"/>
        </w:rPr>
      </w:pPr>
      <w:r w:rsidRPr="008F4048">
        <w:rPr>
          <w:szCs w:val="24"/>
        </w:rPr>
        <w:t>o</w:t>
      </w:r>
      <w:r w:rsidRPr="008F4048">
        <w:rPr>
          <w:szCs w:val="24"/>
        </w:rPr>
        <w:tab/>
      </w:r>
      <w:proofErr w:type="gramStart"/>
      <w:r w:rsidRPr="008F4048">
        <w:rPr>
          <w:szCs w:val="24"/>
        </w:rPr>
        <w:t>The</w:t>
      </w:r>
      <w:proofErr w:type="gramEnd"/>
      <w:r w:rsidRPr="008F4048">
        <w:rPr>
          <w:szCs w:val="24"/>
        </w:rPr>
        <w:t xml:space="preserve"> collection is held for public exhibition, education, or research in furtherance of public service, rather than for financial gain.</w:t>
      </w:r>
    </w:p>
    <w:p w14:paraId="6BAAD12C" w14:textId="77777777" w:rsidR="00A60093" w:rsidRPr="008F4048" w:rsidRDefault="00A60093" w:rsidP="00A6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360"/>
        <w:rPr>
          <w:szCs w:val="24"/>
        </w:rPr>
      </w:pPr>
      <w:r w:rsidRPr="008F4048">
        <w:rPr>
          <w:szCs w:val="24"/>
        </w:rPr>
        <w:t>o</w:t>
      </w:r>
      <w:r w:rsidRPr="008F4048">
        <w:rPr>
          <w:szCs w:val="24"/>
        </w:rPr>
        <w:tab/>
      </w:r>
      <w:proofErr w:type="gramStart"/>
      <w:r w:rsidRPr="008F4048">
        <w:rPr>
          <w:szCs w:val="24"/>
        </w:rPr>
        <w:t>The</w:t>
      </w:r>
      <w:proofErr w:type="gramEnd"/>
      <w:r w:rsidRPr="008F4048">
        <w:rPr>
          <w:szCs w:val="24"/>
        </w:rPr>
        <w:t xml:space="preserve"> collection is protected, kept unencumbered, cared for, and preserved. </w:t>
      </w:r>
    </w:p>
    <w:p w14:paraId="132773A8" w14:textId="77777777" w:rsidR="00A60093" w:rsidRPr="00A60093" w:rsidRDefault="00A60093" w:rsidP="00A60093">
      <w:pPr>
        <w:pStyle w:val="BodyTextIndent"/>
        <w:spacing w:before="0" w:after="0"/>
        <w:ind w:left="1440" w:hanging="360"/>
        <w:rPr>
          <w:b w:val="0"/>
          <w:szCs w:val="24"/>
          <w:u w:val="none"/>
        </w:rPr>
      </w:pPr>
      <w:r w:rsidRPr="00A60093">
        <w:rPr>
          <w:b w:val="0"/>
          <w:szCs w:val="24"/>
          <w:u w:val="none"/>
        </w:rPr>
        <w:t>o</w:t>
      </w:r>
      <w:r w:rsidRPr="00A60093">
        <w:rPr>
          <w:b w:val="0"/>
          <w:szCs w:val="24"/>
          <w:u w:val="none"/>
        </w:rPr>
        <w:tab/>
      </w:r>
      <w:proofErr w:type="gramStart"/>
      <w:r w:rsidRPr="00A60093">
        <w:rPr>
          <w:b w:val="0"/>
          <w:szCs w:val="24"/>
          <w:u w:val="none"/>
        </w:rPr>
        <w:t>The</w:t>
      </w:r>
      <w:proofErr w:type="gramEnd"/>
      <w:r w:rsidRPr="00A60093">
        <w:rPr>
          <w:b w:val="0"/>
          <w:szCs w:val="24"/>
          <w:u w:val="none"/>
        </w:rPr>
        <w:t xml:space="preserve"> collection is subject to an organizational policy that requires the proceeds from sales of collection items to be used to acquire other items for collections.</w:t>
      </w:r>
    </w:p>
    <w:p w14:paraId="6B8CB272" w14:textId="77777777" w:rsidR="00A60093" w:rsidRDefault="00A60093" w:rsidP="00A60093">
      <w:pPr>
        <w:rPr>
          <w:szCs w:val="24"/>
        </w:rPr>
      </w:pPr>
      <w:r w:rsidRPr="008F4048">
        <w:rPr>
          <w:szCs w:val="24"/>
        </w:rPr>
        <w:t>Agencies must record depreciation on exhaustible collections.</w:t>
      </w:r>
    </w:p>
    <w:p w14:paraId="2383E7A6" w14:textId="77777777" w:rsidR="008868DC" w:rsidRDefault="008868DC" w:rsidP="00A60093">
      <w:pPr>
        <w:rPr>
          <w:szCs w:val="24"/>
        </w:rPr>
      </w:pPr>
    </w:p>
    <w:p w14:paraId="0FA6A505" w14:textId="77777777" w:rsidR="005373B0" w:rsidRPr="0099749D" w:rsidRDefault="005373B0" w:rsidP="002513F7">
      <w:pPr>
        <w:pStyle w:val="Heading4"/>
      </w:pPr>
      <w:r w:rsidRPr="0099749D">
        <w:t>Tagging of Capital Assets</w:t>
      </w:r>
    </w:p>
    <w:p w14:paraId="07156FFC" w14:textId="4908ADE3" w:rsidR="005373B0" w:rsidRPr="0099749D" w:rsidRDefault="005373B0" w:rsidP="005373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Agencies should firmly attach a property tag to each piece of mov</w:t>
      </w:r>
      <w:r w:rsidR="002226EB">
        <w:rPr>
          <w:szCs w:val="24"/>
        </w:rPr>
        <w:t>e</w:t>
      </w:r>
      <w:r w:rsidRPr="0099749D">
        <w:rPr>
          <w:szCs w:val="24"/>
        </w:rPr>
        <w:t xml:space="preserve">able </w:t>
      </w:r>
      <w:r w:rsidR="00D7536F">
        <w:rPr>
          <w:szCs w:val="24"/>
        </w:rPr>
        <w:t xml:space="preserve">capital </w:t>
      </w:r>
      <w:r w:rsidR="008046AE">
        <w:rPr>
          <w:szCs w:val="24"/>
        </w:rPr>
        <w:t xml:space="preserve">and low value </w:t>
      </w:r>
      <w:r w:rsidR="00D7536F">
        <w:rPr>
          <w:szCs w:val="24"/>
        </w:rPr>
        <w:t>asset</w:t>
      </w:r>
      <w:r w:rsidRPr="0099749D">
        <w:rPr>
          <w:szCs w:val="24"/>
        </w:rPr>
        <w:t>.  Number the tags consecutively.</w:t>
      </w:r>
    </w:p>
    <w:p w14:paraId="5C75CEBE" w14:textId="77777777" w:rsidR="005373B0" w:rsidRPr="0099749D" w:rsidRDefault="005373B0" w:rsidP="005373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99749D">
        <w:rPr>
          <w:szCs w:val="24"/>
        </w:rPr>
        <w:t>Tags help:</w:t>
      </w:r>
    </w:p>
    <w:p w14:paraId="2E8931B5" w14:textId="77777777" w:rsidR="005373B0" w:rsidRPr="0099749D" w:rsidRDefault="005373B0" w:rsidP="005373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432"/>
        <w:rPr>
          <w:szCs w:val="24"/>
        </w:rPr>
      </w:pPr>
      <w:r w:rsidRPr="0099749D">
        <w:rPr>
          <w:szCs w:val="24"/>
        </w:rPr>
        <w:t>o</w:t>
      </w:r>
      <w:r w:rsidRPr="0099749D">
        <w:rPr>
          <w:szCs w:val="24"/>
        </w:rPr>
        <w:tab/>
        <w:t>Agencies to control their assets.</w:t>
      </w:r>
    </w:p>
    <w:p w14:paraId="6044A8B2" w14:textId="77777777" w:rsidR="005373B0" w:rsidRPr="0099749D" w:rsidRDefault="005373B0" w:rsidP="005373B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288"/>
        <w:rPr>
          <w:szCs w:val="24"/>
        </w:rPr>
      </w:pPr>
      <w:r w:rsidRPr="0099749D">
        <w:rPr>
          <w:szCs w:val="24"/>
        </w:rPr>
        <w:t>o</w:t>
      </w:r>
      <w:r w:rsidRPr="0099749D">
        <w:rPr>
          <w:szCs w:val="24"/>
        </w:rPr>
        <w:tab/>
        <w:t>Agencies assess the completeness of accounting and financial records.</w:t>
      </w:r>
    </w:p>
    <w:p w14:paraId="45089A7E" w14:textId="77777777" w:rsidR="005373B0" w:rsidRDefault="005373B0" w:rsidP="0053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firstLine="432"/>
        <w:rPr>
          <w:szCs w:val="24"/>
        </w:rPr>
      </w:pPr>
      <w:r w:rsidRPr="0099749D">
        <w:rPr>
          <w:szCs w:val="24"/>
        </w:rPr>
        <w:t>o</w:t>
      </w:r>
      <w:r w:rsidRPr="0099749D">
        <w:rPr>
          <w:szCs w:val="24"/>
        </w:rPr>
        <w:tab/>
        <w:t>Auditors to locate assets during an audit.</w:t>
      </w:r>
    </w:p>
    <w:p w14:paraId="761BA7D7" w14:textId="7C0F1301" w:rsidR="00E35B2E" w:rsidRPr="0099749D" w:rsidRDefault="004965FF" w:rsidP="00E35B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szCs w:val="24"/>
        </w:rPr>
      </w:pPr>
      <w:r w:rsidRPr="004965FF">
        <w:rPr>
          <w:szCs w:val="24"/>
        </w:rPr>
        <w:t xml:space="preserve">Internal Control Best Practices recommends </w:t>
      </w:r>
      <w:r w:rsidR="0098709E">
        <w:rPr>
          <w:szCs w:val="24"/>
        </w:rPr>
        <w:t xml:space="preserve">performing a physical inventory </w:t>
      </w:r>
      <w:r w:rsidRPr="004965FF">
        <w:rPr>
          <w:szCs w:val="24"/>
        </w:rPr>
        <w:t>of the capital and mov</w:t>
      </w:r>
      <w:r w:rsidR="002226EB">
        <w:rPr>
          <w:szCs w:val="24"/>
        </w:rPr>
        <w:t>e</w:t>
      </w:r>
      <w:r w:rsidRPr="004965FF">
        <w:rPr>
          <w:szCs w:val="24"/>
        </w:rPr>
        <w:t xml:space="preserve">able </w:t>
      </w:r>
      <w:r w:rsidR="00D7536F">
        <w:rPr>
          <w:szCs w:val="24"/>
        </w:rPr>
        <w:t xml:space="preserve">low value </w:t>
      </w:r>
      <w:r w:rsidRPr="004965FF">
        <w:rPr>
          <w:szCs w:val="24"/>
        </w:rPr>
        <w:t>assets owned by the Agency</w:t>
      </w:r>
      <w:r w:rsidR="0098709E">
        <w:rPr>
          <w:szCs w:val="24"/>
        </w:rPr>
        <w:t xml:space="preserve"> </w:t>
      </w:r>
      <w:r w:rsidR="0098709E" w:rsidRPr="0012040B">
        <w:rPr>
          <w:szCs w:val="24"/>
        </w:rPr>
        <w:t>at least annually</w:t>
      </w:r>
      <w:r w:rsidRPr="004965FF">
        <w:rPr>
          <w:szCs w:val="24"/>
        </w:rPr>
        <w:t>.</w:t>
      </w:r>
      <w:r w:rsidR="00362166">
        <w:rPr>
          <w:szCs w:val="24"/>
        </w:rPr>
        <w:t xml:space="preserve"> </w:t>
      </w:r>
      <w:r w:rsidRPr="004965FF">
        <w:rPr>
          <w:szCs w:val="24"/>
        </w:rPr>
        <w:t>SCEIS functionality provides for location and property tag tracking capabilities.</w:t>
      </w:r>
      <w:r w:rsidR="00E35B2E">
        <w:rPr>
          <w:szCs w:val="24"/>
        </w:rPr>
        <w:t xml:space="preserve">  </w:t>
      </w:r>
    </w:p>
    <w:p w14:paraId="1E02DBAB" w14:textId="77777777" w:rsidR="005373B0" w:rsidRPr="0099749D" w:rsidRDefault="005373B0" w:rsidP="002513F7">
      <w:pPr>
        <w:pStyle w:val="Heading4"/>
      </w:pPr>
      <w:r w:rsidRPr="0099749D">
        <w:t>Capitalization of Intangible Assets</w:t>
      </w:r>
    </w:p>
    <w:p w14:paraId="6EB1ECA2" w14:textId="62E1CF75" w:rsidR="005373B0" w:rsidRPr="0099749D" w:rsidRDefault="005373B0" w:rsidP="005373B0">
      <w:pPr>
        <w:widowControl w:val="0"/>
        <w:spacing w:before="0" w:after="0"/>
        <w:rPr>
          <w:szCs w:val="24"/>
        </w:rPr>
      </w:pPr>
      <w:r w:rsidRPr="0099749D">
        <w:rPr>
          <w:szCs w:val="24"/>
        </w:rPr>
        <w:t xml:space="preserve">State agencies are required to capitalize purchased software, websites, and </w:t>
      </w:r>
      <w:proofErr w:type="gramStart"/>
      <w:r w:rsidRPr="0099749D">
        <w:rPr>
          <w:szCs w:val="24"/>
        </w:rPr>
        <w:t>internally-generated</w:t>
      </w:r>
      <w:proofErr w:type="gramEnd"/>
      <w:r w:rsidRPr="0099749D">
        <w:rPr>
          <w:szCs w:val="24"/>
        </w:rPr>
        <w:t xml:space="preserve"> software </w:t>
      </w:r>
      <w:r w:rsidR="00362166">
        <w:rPr>
          <w:szCs w:val="24"/>
        </w:rPr>
        <w:t>that</w:t>
      </w:r>
      <w:r w:rsidRPr="0099749D">
        <w:rPr>
          <w:szCs w:val="24"/>
        </w:rPr>
        <w:t xml:space="preserve"> is developed in-house by agency personnel or by a third party contractor.  The following criteria should </w:t>
      </w:r>
      <w:r w:rsidRPr="0099749D">
        <w:rPr>
          <w:szCs w:val="24"/>
        </w:rPr>
        <w:lastRenderedPageBreak/>
        <w:t xml:space="preserve">be used to determine which </w:t>
      </w:r>
      <w:proofErr w:type="gramStart"/>
      <w:r w:rsidRPr="0099749D">
        <w:rPr>
          <w:szCs w:val="24"/>
        </w:rPr>
        <w:t>internally-generated</w:t>
      </w:r>
      <w:proofErr w:type="gramEnd"/>
      <w:r w:rsidRPr="0099749D">
        <w:rPr>
          <w:szCs w:val="24"/>
        </w:rPr>
        <w:t xml:space="preserve"> software costs should be capitalized:</w:t>
      </w:r>
    </w:p>
    <w:p w14:paraId="3AD007ED" w14:textId="77777777" w:rsidR="005373B0" w:rsidRPr="0099749D" w:rsidRDefault="005373B0" w:rsidP="005C2F33">
      <w:pPr>
        <w:numPr>
          <w:ilvl w:val="0"/>
          <w:numId w:val="19"/>
        </w:numPr>
        <w:spacing w:before="0" w:after="0"/>
        <w:jc w:val="left"/>
        <w:rPr>
          <w:szCs w:val="24"/>
        </w:rPr>
      </w:pPr>
      <w:r w:rsidRPr="0099749D">
        <w:rPr>
          <w:szCs w:val="24"/>
        </w:rPr>
        <w:t xml:space="preserve">Preliminary Project Stage – </w:t>
      </w:r>
      <w:r w:rsidRPr="0099749D">
        <w:rPr>
          <w:b/>
          <w:szCs w:val="24"/>
        </w:rPr>
        <w:t>Expense costs as incurred</w:t>
      </w:r>
    </w:p>
    <w:p w14:paraId="59CCD95A" w14:textId="77777777" w:rsidR="005373B0" w:rsidRPr="0099749D" w:rsidRDefault="005373B0" w:rsidP="005C2F33">
      <w:pPr>
        <w:numPr>
          <w:ilvl w:val="1"/>
          <w:numId w:val="19"/>
        </w:numPr>
        <w:spacing w:before="0" w:after="0"/>
        <w:jc w:val="left"/>
        <w:rPr>
          <w:szCs w:val="24"/>
        </w:rPr>
      </w:pPr>
      <w:r w:rsidRPr="0099749D">
        <w:rPr>
          <w:szCs w:val="24"/>
        </w:rPr>
        <w:t>Conceptual formulation and evaluation of alternatives</w:t>
      </w:r>
    </w:p>
    <w:p w14:paraId="22BB2BC3" w14:textId="77777777" w:rsidR="005373B0" w:rsidRPr="0099749D" w:rsidRDefault="005373B0" w:rsidP="005C2F33">
      <w:pPr>
        <w:numPr>
          <w:ilvl w:val="1"/>
          <w:numId w:val="19"/>
        </w:numPr>
        <w:spacing w:before="0" w:after="0"/>
        <w:jc w:val="left"/>
        <w:rPr>
          <w:szCs w:val="24"/>
        </w:rPr>
      </w:pPr>
      <w:r w:rsidRPr="0099749D">
        <w:rPr>
          <w:szCs w:val="24"/>
        </w:rPr>
        <w:t>Determination of existence of needed technology</w:t>
      </w:r>
    </w:p>
    <w:p w14:paraId="018A980F" w14:textId="77777777" w:rsidR="005373B0" w:rsidRPr="0099749D" w:rsidRDefault="005373B0" w:rsidP="005C2F33">
      <w:pPr>
        <w:numPr>
          <w:ilvl w:val="1"/>
          <w:numId w:val="19"/>
        </w:numPr>
        <w:spacing w:before="0" w:after="0"/>
        <w:jc w:val="left"/>
        <w:rPr>
          <w:szCs w:val="24"/>
        </w:rPr>
      </w:pPr>
      <w:r w:rsidRPr="0099749D">
        <w:rPr>
          <w:szCs w:val="24"/>
        </w:rPr>
        <w:t>Final selection of alternatives</w:t>
      </w:r>
    </w:p>
    <w:p w14:paraId="3CF81E1D" w14:textId="77777777" w:rsidR="005373B0" w:rsidRPr="0099749D" w:rsidRDefault="005373B0" w:rsidP="005C2F33">
      <w:pPr>
        <w:numPr>
          <w:ilvl w:val="0"/>
          <w:numId w:val="19"/>
        </w:numPr>
        <w:spacing w:before="0" w:after="0"/>
        <w:jc w:val="left"/>
        <w:rPr>
          <w:szCs w:val="24"/>
        </w:rPr>
      </w:pPr>
      <w:r w:rsidRPr="0099749D">
        <w:rPr>
          <w:szCs w:val="24"/>
        </w:rPr>
        <w:t xml:space="preserve">Application Development Stage – </w:t>
      </w:r>
      <w:r w:rsidRPr="0099749D">
        <w:rPr>
          <w:b/>
          <w:szCs w:val="24"/>
        </w:rPr>
        <w:t>Capitalize once criteria have been met; cease capitalization when software is operational</w:t>
      </w:r>
    </w:p>
    <w:p w14:paraId="15A80DE3" w14:textId="77777777" w:rsidR="005373B0" w:rsidRPr="0099749D" w:rsidRDefault="005373B0" w:rsidP="005C2F33">
      <w:pPr>
        <w:numPr>
          <w:ilvl w:val="1"/>
          <w:numId w:val="19"/>
        </w:numPr>
        <w:spacing w:before="0" w:after="0"/>
        <w:jc w:val="left"/>
        <w:rPr>
          <w:szCs w:val="24"/>
        </w:rPr>
      </w:pPr>
      <w:r w:rsidRPr="0099749D">
        <w:rPr>
          <w:szCs w:val="24"/>
        </w:rPr>
        <w:t>Design of the chosen path</w:t>
      </w:r>
    </w:p>
    <w:p w14:paraId="6B298A1D" w14:textId="77777777" w:rsidR="005373B0" w:rsidRPr="0099749D" w:rsidRDefault="005373B0" w:rsidP="005C2F33">
      <w:pPr>
        <w:numPr>
          <w:ilvl w:val="1"/>
          <w:numId w:val="19"/>
        </w:numPr>
        <w:spacing w:before="0" w:after="0"/>
        <w:jc w:val="left"/>
        <w:rPr>
          <w:szCs w:val="24"/>
        </w:rPr>
      </w:pPr>
      <w:r w:rsidRPr="0099749D">
        <w:rPr>
          <w:szCs w:val="24"/>
        </w:rPr>
        <w:t>Coding</w:t>
      </w:r>
    </w:p>
    <w:p w14:paraId="33A473C5" w14:textId="77777777" w:rsidR="005373B0" w:rsidRPr="0099749D" w:rsidRDefault="005373B0" w:rsidP="005C2F33">
      <w:pPr>
        <w:numPr>
          <w:ilvl w:val="1"/>
          <w:numId w:val="19"/>
        </w:numPr>
        <w:spacing w:before="0" w:after="0"/>
        <w:jc w:val="left"/>
        <w:rPr>
          <w:szCs w:val="24"/>
        </w:rPr>
      </w:pPr>
      <w:r w:rsidRPr="0099749D">
        <w:rPr>
          <w:szCs w:val="24"/>
        </w:rPr>
        <w:t>Installation to hardware</w:t>
      </w:r>
    </w:p>
    <w:p w14:paraId="46FA2282" w14:textId="77777777" w:rsidR="005373B0" w:rsidRPr="0099749D" w:rsidRDefault="005373B0" w:rsidP="005C2F33">
      <w:pPr>
        <w:numPr>
          <w:ilvl w:val="1"/>
          <w:numId w:val="19"/>
        </w:numPr>
        <w:spacing w:before="0" w:after="0"/>
        <w:jc w:val="left"/>
        <w:rPr>
          <w:szCs w:val="24"/>
        </w:rPr>
      </w:pPr>
      <w:r w:rsidRPr="0099749D">
        <w:rPr>
          <w:szCs w:val="24"/>
        </w:rPr>
        <w:t>Testing and parallel processing</w:t>
      </w:r>
    </w:p>
    <w:p w14:paraId="050ABC2F" w14:textId="77777777" w:rsidR="005373B0" w:rsidRPr="0099749D" w:rsidRDefault="005373B0" w:rsidP="005C2F33">
      <w:pPr>
        <w:numPr>
          <w:ilvl w:val="0"/>
          <w:numId w:val="19"/>
        </w:numPr>
        <w:spacing w:before="0" w:after="0"/>
        <w:jc w:val="left"/>
        <w:rPr>
          <w:szCs w:val="24"/>
        </w:rPr>
      </w:pPr>
      <w:r w:rsidRPr="0099749D">
        <w:rPr>
          <w:szCs w:val="24"/>
        </w:rPr>
        <w:t xml:space="preserve">Post-Implementation/Operation Stage – </w:t>
      </w:r>
      <w:r w:rsidRPr="0099749D">
        <w:rPr>
          <w:b/>
          <w:szCs w:val="24"/>
        </w:rPr>
        <w:t>Expense costs as incurred</w:t>
      </w:r>
    </w:p>
    <w:p w14:paraId="07E1FA38" w14:textId="77777777" w:rsidR="005373B0" w:rsidRPr="0099749D" w:rsidRDefault="005373B0" w:rsidP="005C2F33">
      <w:pPr>
        <w:numPr>
          <w:ilvl w:val="1"/>
          <w:numId w:val="19"/>
        </w:numPr>
        <w:spacing w:before="0" w:after="0"/>
        <w:jc w:val="left"/>
        <w:rPr>
          <w:szCs w:val="24"/>
        </w:rPr>
      </w:pPr>
      <w:r w:rsidRPr="0099749D">
        <w:rPr>
          <w:szCs w:val="24"/>
        </w:rPr>
        <w:t>Application user training</w:t>
      </w:r>
    </w:p>
    <w:p w14:paraId="0348F117" w14:textId="77777777" w:rsidR="005373B0" w:rsidRPr="0099749D" w:rsidRDefault="005373B0" w:rsidP="005C2F33">
      <w:pPr>
        <w:numPr>
          <w:ilvl w:val="1"/>
          <w:numId w:val="19"/>
        </w:numPr>
        <w:spacing w:before="0" w:after="0"/>
        <w:jc w:val="left"/>
        <w:rPr>
          <w:szCs w:val="24"/>
        </w:rPr>
      </w:pPr>
      <w:r w:rsidRPr="0099749D">
        <w:rPr>
          <w:szCs w:val="24"/>
        </w:rPr>
        <w:t>Software maintenance</w:t>
      </w:r>
    </w:p>
    <w:p w14:paraId="2055C26B" w14:textId="77777777" w:rsidR="005373B0" w:rsidRPr="0099749D" w:rsidRDefault="005373B0" w:rsidP="005373B0">
      <w:pPr>
        <w:widowControl w:val="0"/>
        <w:spacing w:after="0"/>
        <w:rPr>
          <w:szCs w:val="24"/>
        </w:rPr>
      </w:pPr>
      <w:r w:rsidRPr="0099749D">
        <w:rPr>
          <w:szCs w:val="24"/>
        </w:rPr>
        <w:t>Other considerations for Software Capitalization:</w:t>
      </w:r>
    </w:p>
    <w:p w14:paraId="15104C28" w14:textId="77777777" w:rsidR="005373B0" w:rsidRPr="0099749D" w:rsidRDefault="005373B0" w:rsidP="005C2F33">
      <w:pPr>
        <w:pStyle w:val="ListParagraph"/>
        <w:widowControl w:val="0"/>
        <w:numPr>
          <w:ilvl w:val="0"/>
          <w:numId w:val="20"/>
        </w:numPr>
        <w:spacing w:before="0" w:after="0"/>
        <w:rPr>
          <w:szCs w:val="24"/>
        </w:rPr>
      </w:pPr>
      <w:r w:rsidRPr="0099749D">
        <w:rPr>
          <w:szCs w:val="24"/>
        </w:rPr>
        <w:t xml:space="preserve">Data conversion costs should be considered an activity of the application development stage (and capitalized) </w:t>
      </w:r>
      <w:r w:rsidRPr="0099749D">
        <w:rPr>
          <w:szCs w:val="24"/>
          <w:u w:val="single"/>
        </w:rPr>
        <w:t>only to the extent it is determined to be necessary to make the computer software operational</w:t>
      </w:r>
      <w:r w:rsidRPr="0099749D">
        <w:rPr>
          <w:szCs w:val="24"/>
        </w:rPr>
        <w:t xml:space="preserve">; otherwise, data conversion should be considered an activity of the post-implementation/operation stage (and expensed).  </w:t>
      </w:r>
    </w:p>
    <w:p w14:paraId="2D465760" w14:textId="77777777" w:rsidR="00574242" w:rsidRPr="0099749D" w:rsidRDefault="00574242" w:rsidP="005C2F33">
      <w:pPr>
        <w:pStyle w:val="ListParagraph"/>
        <w:keepLines/>
        <w:widowControl w:val="0"/>
        <w:numPr>
          <w:ilvl w:val="0"/>
          <w:numId w:val="20"/>
        </w:numPr>
        <w:spacing w:before="0" w:after="0"/>
        <w:rPr>
          <w:szCs w:val="24"/>
        </w:rPr>
      </w:pPr>
      <w:r w:rsidRPr="0099749D">
        <w:rPr>
          <w:szCs w:val="24"/>
        </w:rPr>
        <w:t xml:space="preserve">Agencies should view the purchase of a single software program as the purchase of a single intangible asset subject to the $100,000 capitalization threshold, regardless of the number of licensed seats the agency purchases.  (The Comptroller General’s Office views the seats as components of the cost of a single piece of intellectual property rather than viewing each seat as a separate capital asset.)  </w:t>
      </w:r>
    </w:p>
    <w:p w14:paraId="7E92C43B" w14:textId="77777777" w:rsidR="00574242" w:rsidRPr="0099749D" w:rsidRDefault="00574242" w:rsidP="005C2F33">
      <w:pPr>
        <w:pStyle w:val="ListParagraph"/>
        <w:keepLines/>
        <w:widowControl w:val="0"/>
        <w:numPr>
          <w:ilvl w:val="0"/>
          <w:numId w:val="20"/>
        </w:numPr>
        <w:spacing w:before="0" w:after="0"/>
        <w:rPr>
          <w:szCs w:val="24"/>
        </w:rPr>
      </w:pPr>
      <w:r w:rsidRPr="0099749D">
        <w:rPr>
          <w:szCs w:val="24"/>
        </w:rPr>
        <w:t>If your agency purchases additional seats after initial capitalization, you should not capitalize the cost of the additional seats unless their cost exceeds $100,000 in total.  (The Comptroller General’s Office would consider seat costs totaling more than $100,000 as representing a substantial addition to the initial software purchase that should be capitalized).</w:t>
      </w:r>
    </w:p>
    <w:p w14:paraId="5F7EFAC7" w14:textId="77777777" w:rsidR="00574242" w:rsidRPr="0099749D" w:rsidRDefault="00574242" w:rsidP="005C2F33">
      <w:pPr>
        <w:pStyle w:val="ListParagraph"/>
        <w:keepLines/>
        <w:widowControl w:val="0"/>
        <w:numPr>
          <w:ilvl w:val="0"/>
          <w:numId w:val="20"/>
        </w:numPr>
        <w:spacing w:before="0" w:after="0"/>
        <w:rPr>
          <w:szCs w:val="24"/>
        </w:rPr>
      </w:pPr>
      <w:r w:rsidRPr="0099749D">
        <w:rPr>
          <w:szCs w:val="24"/>
        </w:rPr>
        <w:t>State agencies sometimes purchase software modules that are attached to a base software program owned by their own agency or another State agency.  Because the base software can operate without the module, and because the module increases the capabilities of the base software, the module should be accounted for as an asset separate from the base software.  Agencies should capitalize a software module if its cost exceeds the $100,000 capitalization threshold.</w:t>
      </w:r>
    </w:p>
    <w:p w14:paraId="25677B23" w14:textId="77777777" w:rsidR="00574242" w:rsidRPr="0099749D" w:rsidRDefault="00574242" w:rsidP="005C2F33">
      <w:pPr>
        <w:pStyle w:val="ListParagraph"/>
        <w:widowControl w:val="0"/>
        <w:numPr>
          <w:ilvl w:val="0"/>
          <w:numId w:val="20"/>
        </w:numPr>
        <w:spacing w:before="0" w:after="0"/>
        <w:rPr>
          <w:szCs w:val="24"/>
        </w:rPr>
      </w:pPr>
      <w:r w:rsidRPr="0099749D">
        <w:rPr>
          <w:szCs w:val="24"/>
        </w:rPr>
        <w:t xml:space="preserve">Agencies should capitalize software upgrades that exceed $100,000 </w:t>
      </w:r>
      <w:r w:rsidRPr="0099749D">
        <w:rPr>
          <w:b/>
          <w:i/>
          <w:szCs w:val="24"/>
        </w:rPr>
        <w:t>only if</w:t>
      </w:r>
      <w:r w:rsidRPr="0099749D">
        <w:rPr>
          <w:szCs w:val="24"/>
        </w:rPr>
        <w:t xml:space="preserve"> the upgrades increase the software’s functionality.</w:t>
      </w:r>
    </w:p>
    <w:p w14:paraId="269323F2" w14:textId="77777777" w:rsidR="00914D43" w:rsidRDefault="005D04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sidRPr="0099749D">
        <w:rPr>
          <w:szCs w:val="24"/>
          <w:u w:val="single"/>
        </w:rPr>
        <w:t>Other Capital Asset Related Transactions</w:t>
      </w:r>
    </w:p>
    <w:p w14:paraId="75D6BA27" w14:textId="4107E73F" w:rsidR="00914D43" w:rsidRDefault="005742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szCs w:val="24"/>
        </w:rPr>
      </w:pPr>
      <w:r w:rsidRPr="0099749D">
        <w:rPr>
          <w:szCs w:val="24"/>
        </w:rPr>
        <w:t>GASB Codification Section 2300.106(k) requires the State to disclose construction and other significant commitments</w:t>
      </w:r>
      <w:r w:rsidR="00F172D8">
        <w:rPr>
          <w:szCs w:val="24"/>
        </w:rPr>
        <w:t>, such as software development</w:t>
      </w:r>
      <w:r w:rsidRPr="0099749D">
        <w:rPr>
          <w:szCs w:val="24"/>
        </w:rPr>
        <w:t>.</w:t>
      </w:r>
    </w:p>
    <w:p w14:paraId="49B04FB2" w14:textId="7425E71F" w:rsidR="00574242" w:rsidRPr="0099749D" w:rsidRDefault="00574242" w:rsidP="0057424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80"/>
        <w:rPr>
          <w:szCs w:val="24"/>
        </w:rPr>
      </w:pPr>
      <w:r w:rsidRPr="0099749D">
        <w:rPr>
          <w:szCs w:val="24"/>
        </w:rPr>
        <w:t>State policy requires agencies to separately report construction commitments outstanding for:</w:t>
      </w:r>
      <w:r w:rsidR="00F172D8">
        <w:rPr>
          <w:szCs w:val="24"/>
        </w:rPr>
        <w:t xml:space="preserve"> </w:t>
      </w:r>
      <w:r w:rsidRPr="0099749D">
        <w:rPr>
          <w:szCs w:val="24"/>
        </w:rPr>
        <w:t xml:space="preserve">(a) capital projects and (b) repair/maintenance projects.  </w:t>
      </w:r>
    </w:p>
    <w:p w14:paraId="0BEE3E4D" w14:textId="77777777" w:rsidR="00574242" w:rsidRPr="0099749D" w:rsidRDefault="00574242" w:rsidP="005742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0"/>
        <w:rPr>
          <w:szCs w:val="24"/>
        </w:rPr>
      </w:pPr>
      <w:r w:rsidRPr="0099749D">
        <w:rPr>
          <w:szCs w:val="24"/>
        </w:rPr>
        <w:lastRenderedPageBreak/>
        <w:t>To compute the amount of construction commitments outstanding:</w:t>
      </w:r>
    </w:p>
    <w:p w14:paraId="4DD8D342" w14:textId="77777777" w:rsidR="00574242" w:rsidRPr="0099749D" w:rsidRDefault="00574242" w:rsidP="00574242">
      <w:pPr>
        <w:pStyle w:val="Bullet10"/>
        <w:keepNext/>
        <w:spacing w:before="0" w:after="0"/>
        <w:rPr>
          <w:szCs w:val="24"/>
        </w:rPr>
      </w:pPr>
      <w:r w:rsidRPr="0099749D">
        <w:rPr>
          <w:szCs w:val="24"/>
        </w:rPr>
        <w:t>o</w:t>
      </w:r>
      <w:r w:rsidRPr="0099749D">
        <w:rPr>
          <w:szCs w:val="24"/>
        </w:rPr>
        <w:tab/>
        <w:t xml:space="preserve">Determine your agency's construction projects in progress </w:t>
      </w:r>
      <w:proofErr w:type="gramStart"/>
      <w:r w:rsidRPr="0099749D">
        <w:rPr>
          <w:szCs w:val="24"/>
        </w:rPr>
        <w:t>at</w:t>
      </w:r>
      <w:proofErr w:type="gramEnd"/>
      <w:r w:rsidRPr="0099749D">
        <w:rPr>
          <w:szCs w:val="24"/>
        </w:rPr>
        <w:t xml:space="preserve"> June 30.</w:t>
      </w:r>
    </w:p>
    <w:p w14:paraId="122D692A" w14:textId="77777777" w:rsidR="00574242" w:rsidRPr="0099749D" w:rsidRDefault="00574242" w:rsidP="00574242">
      <w:pPr>
        <w:pStyle w:val="Bullet10"/>
        <w:keepNext/>
        <w:spacing w:before="0" w:after="0"/>
        <w:rPr>
          <w:szCs w:val="24"/>
        </w:rPr>
      </w:pPr>
      <w:r w:rsidRPr="0099749D">
        <w:rPr>
          <w:szCs w:val="24"/>
        </w:rPr>
        <w:t>o</w:t>
      </w:r>
      <w:r w:rsidRPr="0099749D">
        <w:rPr>
          <w:szCs w:val="24"/>
        </w:rPr>
        <w:tab/>
        <w:t xml:space="preserve">Compute the outstanding commitment for each project in progress </w:t>
      </w:r>
      <w:proofErr w:type="gramStart"/>
      <w:r w:rsidRPr="0099749D">
        <w:rPr>
          <w:szCs w:val="24"/>
        </w:rPr>
        <w:t>at</w:t>
      </w:r>
      <w:proofErr w:type="gramEnd"/>
      <w:r w:rsidRPr="0099749D">
        <w:rPr>
          <w:szCs w:val="24"/>
        </w:rPr>
        <w:t xml:space="preserve"> June 30 as follows: </w:t>
      </w:r>
    </w:p>
    <w:p w14:paraId="73283018" w14:textId="77777777" w:rsidR="00574242" w:rsidRPr="0099749D" w:rsidRDefault="00574242" w:rsidP="00574242">
      <w:pPr>
        <w:pStyle w:val="Bullet2"/>
        <w:keepNext/>
        <w:spacing w:before="0" w:after="0"/>
        <w:rPr>
          <w:szCs w:val="24"/>
        </w:rPr>
      </w:pPr>
      <w:r w:rsidRPr="0099749D">
        <w:rPr>
          <w:szCs w:val="24"/>
        </w:rPr>
        <w:noBreakHyphen/>
      </w:r>
      <w:r w:rsidRPr="0099749D">
        <w:rPr>
          <w:szCs w:val="24"/>
        </w:rPr>
        <w:noBreakHyphen/>
      </w:r>
      <w:r w:rsidRPr="0099749D">
        <w:rPr>
          <w:szCs w:val="24"/>
        </w:rPr>
        <w:tab/>
        <w:t xml:space="preserve">The </w:t>
      </w:r>
      <w:r w:rsidRPr="0099749D">
        <w:rPr>
          <w:szCs w:val="24"/>
          <w:u w:val="single"/>
        </w:rPr>
        <w:t>contract</w:t>
      </w:r>
      <w:r w:rsidRPr="0099749D">
        <w:rPr>
          <w:szCs w:val="24"/>
        </w:rPr>
        <w:t xml:space="preserve"> price.</w:t>
      </w:r>
    </w:p>
    <w:p w14:paraId="67C9FFA1" w14:textId="77777777" w:rsidR="00574242" w:rsidRPr="0099749D" w:rsidRDefault="00574242" w:rsidP="00574242">
      <w:pPr>
        <w:pStyle w:val="Bullet2"/>
        <w:keepNext/>
        <w:tabs>
          <w:tab w:val="left" w:pos="1440"/>
        </w:tabs>
        <w:spacing w:before="0" w:after="0"/>
        <w:ind w:left="2520" w:hanging="1512"/>
        <w:rPr>
          <w:szCs w:val="24"/>
        </w:rPr>
      </w:pPr>
      <w:r w:rsidRPr="0099749D">
        <w:rPr>
          <w:szCs w:val="24"/>
        </w:rPr>
        <w:noBreakHyphen/>
      </w:r>
      <w:r w:rsidRPr="0099749D">
        <w:rPr>
          <w:szCs w:val="24"/>
        </w:rPr>
        <w:noBreakHyphen/>
      </w:r>
      <w:r w:rsidRPr="0099749D">
        <w:rPr>
          <w:szCs w:val="24"/>
        </w:rPr>
        <w:tab/>
        <w:t>Less:  Amounts the State has paid contractors from the start of the project through June 30.</w:t>
      </w:r>
    </w:p>
    <w:p w14:paraId="4B60A784" w14:textId="2422F5DF" w:rsidR="00574242" w:rsidRPr="0099749D" w:rsidRDefault="00574242" w:rsidP="00574242">
      <w:pPr>
        <w:pStyle w:val="Bullet2"/>
        <w:tabs>
          <w:tab w:val="left" w:pos="1440"/>
        </w:tabs>
        <w:spacing w:before="0" w:after="0"/>
        <w:ind w:left="2520" w:hanging="1512"/>
        <w:rPr>
          <w:szCs w:val="24"/>
        </w:rPr>
      </w:pPr>
      <w:r w:rsidRPr="0099749D">
        <w:rPr>
          <w:szCs w:val="24"/>
        </w:rPr>
        <w:noBreakHyphen/>
      </w:r>
      <w:r w:rsidRPr="0099749D">
        <w:rPr>
          <w:szCs w:val="24"/>
        </w:rPr>
        <w:noBreakHyphen/>
      </w:r>
      <w:r w:rsidRPr="0099749D">
        <w:rPr>
          <w:szCs w:val="24"/>
        </w:rPr>
        <w:tab/>
        <w:t>Less:</w:t>
      </w:r>
      <w:r w:rsidR="00F172D8">
        <w:rPr>
          <w:szCs w:val="24"/>
        </w:rPr>
        <w:t xml:space="preserve"> </w:t>
      </w:r>
      <w:r w:rsidRPr="0099749D">
        <w:rPr>
          <w:szCs w:val="24"/>
        </w:rPr>
        <w:t>Amounts relating to the project that your agency has reported as ac</w:t>
      </w:r>
      <w:r w:rsidR="00EF39D1">
        <w:rPr>
          <w:szCs w:val="24"/>
        </w:rPr>
        <w:t>counts payable and/or retainage</w:t>
      </w:r>
      <w:r w:rsidRPr="0099749D">
        <w:rPr>
          <w:szCs w:val="24"/>
        </w:rPr>
        <w:t xml:space="preserve"> payable as of June 30 of the current fiscal year.</w:t>
      </w:r>
    </w:p>
    <w:p w14:paraId="56075F99" w14:textId="77777777" w:rsidR="00574242" w:rsidRPr="0099749D" w:rsidRDefault="00574242" w:rsidP="00574242">
      <w:pPr>
        <w:pStyle w:val="Bullet10"/>
        <w:spacing w:before="0" w:after="0"/>
        <w:rPr>
          <w:szCs w:val="24"/>
        </w:rPr>
      </w:pPr>
      <w:r w:rsidRPr="0099749D">
        <w:rPr>
          <w:szCs w:val="24"/>
        </w:rPr>
        <w:t>o</w:t>
      </w:r>
      <w:r w:rsidRPr="0099749D">
        <w:rPr>
          <w:szCs w:val="24"/>
        </w:rPr>
        <w:tab/>
        <w:t xml:space="preserve">Add together the outstanding amounts for all capital projects in progress </w:t>
      </w:r>
      <w:proofErr w:type="gramStart"/>
      <w:r w:rsidRPr="0099749D">
        <w:rPr>
          <w:szCs w:val="24"/>
        </w:rPr>
        <w:t>at</w:t>
      </w:r>
      <w:proofErr w:type="gramEnd"/>
      <w:r w:rsidRPr="0099749D">
        <w:rPr>
          <w:szCs w:val="24"/>
        </w:rPr>
        <w:t xml:space="preserve"> June 30.  </w:t>
      </w:r>
    </w:p>
    <w:p w14:paraId="73EB58F4" w14:textId="77777777" w:rsidR="00574242" w:rsidRPr="0099749D" w:rsidRDefault="00574242" w:rsidP="00574242">
      <w:pPr>
        <w:pStyle w:val="Bullet10"/>
        <w:spacing w:before="0" w:after="0"/>
        <w:rPr>
          <w:szCs w:val="24"/>
        </w:rPr>
      </w:pPr>
      <w:r w:rsidRPr="0099749D">
        <w:rPr>
          <w:szCs w:val="24"/>
        </w:rPr>
        <w:t>o</w:t>
      </w:r>
      <w:r w:rsidRPr="0099749D">
        <w:rPr>
          <w:szCs w:val="24"/>
        </w:rPr>
        <w:tab/>
        <w:t xml:space="preserve">Add together the outstanding amounts for all repair/maintenance projects in progress </w:t>
      </w:r>
      <w:proofErr w:type="gramStart"/>
      <w:r w:rsidRPr="0099749D">
        <w:rPr>
          <w:szCs w:val="24"/>
        </w:rPr>
        <w:t>at</w:t>
      </w:r>
      <w:proofErr w:type="gramEnd"/>
      <w:r w:rsidRPr="0099749D">
        <w:rPr>
          <w:szCs w:val="24"/>
        </w:rPr>
        <w:t xml:space="preserve"> June 30.</w:t>
      </w:r>
    </w:p>
    <w:p w14:paraId="26C089D2" w14:textId="70BC9CA1" w:rsidR="00574242" w:rsidRPr="0099749D" w:rsidRDefault="00574242" w:rsidP="00574242">
      <w:pPr>
        <w:pStyle w:val="Bullet10"/>
        <w:spacing w:before="80" w:after="80"/>
        <w:rPr>
          <w:szCs w:val="24"/>
        </w:rPr>
      </w:pPr>
      <w:r w:rsidRPr="0099749D">
        <w:rPr>
          <w:szCs w:val="24"/>
        </w:rPr>
        <w:t>o</w:t>
      </w:r>
      <w:r w:rsidRPr="0099749D">
        <w:rPr>
          <w:szCs w:val="24"/>
        </w:rPr>
        <w:tab/>
        <w:t>Consider the nature of the project to determine whether it is a capital project or a repair/maintenance project.  Generally, only new construction and renovations that add square footage, prepare a facility for a new use, and/or extend useful life are classified as capital projects.</w:t>
      </w:r>
    </w:p>
    <w:p w14:paraId="52C2D70C" w14:textId="567F0BBC" w:rsidR="00574242" w:rsidRPr="0099749D" w:rsidRDefault="00574242" w:rsidP="0057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99749D">
        <w:rPr>
          <w:szCs w:val="24"/>
        </w:rPr>
        <w:t xml:space="preserve">For </w:t>
      </w:r>
      <w:r w:rsidR="00BF32B6">
        <w:rPr>
          <w:szCs w:val="24"/>
        </w:rPr>
        <w:t xml:space="preserve">non-capitalized </w:t>
      </w:r>
      <w:r w:rsidRPr="0099749D">
        <w:rPr>
          <w:szCs w:val="24"/>
        </w:rPr>
        <w:t xml:space="preserve">collections of works of art and historical treasures, the State must disclose a description of the collection and the reasons these assets are not required to be capitalized (GASB Codification Section 2300.113).  The State also must recognize as revenue the dollar amount of </w:t>
      </w:r>
      <w:r w:rsidR="00BF32B6">
        <w:rPr>
          <w:szCs w:val="24"/>
        </w:rPr>
        <w:t xml:space="preserve">donated </w:t>
      </w:r>
      <w:r w:rsidRPr="0099749D">
        <w:rPr>
          <w:szCs w:val="24"/>
        </w:rPr>
        <w:t>assets added to non-capitalized collections (GASB Codification Section 1400.110).</w:t>
      </w:r>
    </w:p>
    <w:p w14:paraId="17C0BA75" w14:textId="77777777" w:rsidR="00574242" w:rsidRPr="00D7536F" w:rsidRDefault="005D0457" w:rsidP="006E09D9">
      <w:pPr>
        <w:pStyle w:val="Heading4"/>
      </w:pPr>
      <w:bookmarkStart w:id="261" w:name="_Hlk134020351"/>
      <w:r w:rsidRPr="00DF5711">
        <w:t xml:space="preserve">Intra-Fund Transfers </w:t>
      </w:r>
      <w:r w:rsidR="009A0531" w:rsidRPr="00D7536F">
        <w:t>of</w:t>
      </w:r>
      <w:r w:rsidRPr="00D7536F">
        <w:t xml:space="preserve"> Capital Assets</w:t>
      </w:r>
    </w:p>
    <w:p w14:paraId="57BDDED6" w14:textId="77777777" w:rsidR="00574242" w:rsidRPr="0086331F" w:rsidRDefault="00574242" w:rsidP="0057424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86331F">
        <w:rPr>
          <w:szCs w:val="24"/>
        </w:rPr>
        <w:t xml:space="preserve">Question </w:t>
      </w:r>
      <w:r w:rsidR="000B09E9" w:rsidRPr="0086331F">
        <w:rPr>
          <w:szCs w:val="24"/>
        </w:rPr>
        <w:t>7.74.4</w:t>
      </w:r>
      <w:r w:rsidRPr="0086331F">
        <w:rPr>
          <w:szCs w:val="24"/>
        </w:rPr>
        <w:t xml:space="preserve"> of the GASB’s publication, </w:t>
      </w:r>
      <w:r w:rsidR="000B09E9" w:rsidRPr="0086331F">
        <w:rPr>
          <w:i/>
          <w:iCs/>
          <w:szCs w:val="24"/>
        </w:rPr>
        <w:t xml:space="preserve">Comprehensive </w:t>
      </w:r>
      <w:r w:rsidRPr="0086331F">
        <w:rPr>
          <w:i/>
          <w:iCs/>
          <w:szCs w:val="24"/>
        </w:rPr>
        <w:t xml:space="preserve">Implementation </w:t>
      </w:r>
      <w:r w:rsidR="000B09E9" w:rsidRPr="0086331F">
        <w:rPr>
          <w:i/>
          <w:iCs/>
          <w:szCs w:val="24"/>
        </w:rPr>
        <w:t>Guide</w:t>
      </w:r>
      <w:r w:rsidRPr="0086331F">
        <w:rPr>
          <w:i/>
          <w:iCs/>
          <w:szCs w:val="24"/>
        </w:rPr>
        <w:t>s</w:t>
      </w:r>
      <w:r w:rsidRPr="0086331F">
        <w:rPr>
          <w:szCs w:val="24"/>
        </w:rPr>
        <w:t xml:space="preserve"> (</w:t>
      </w:r>
      <w:r w:rsidR="000B09E9" w:rsidRPr="0086331F">
        <w:rPr>
          <w:szCs w:val="24"/>
        </w:rPr>
        <w:t>2011-2012 updated through June 30, 2011</w:t>
      </w:r>
      <w:r w:rsidRPr="0086331F">
        <w:rPr>
          <w:szCs w:val="24"/>
        </w:rPr>
        <w:t>) provides guidance regarding the recording of transfers of capital assets between and among a government’s various funds.  That guidance specifically requires that the State report a transfer of capital assets from a Governmental fund to an Enterprise fund as an inflow of resources in the “capital contributions” section of the Enterprise fund’s financial statements and as a transfer in and out in the government-wide statement of activities.</w:t>
      </w:r>
    </w:p>
    <w:p w14:paraId="2A1AAAC2" w14:textId="77777777" w:rsidR="00574242" w:rsidRPr="0086331F" w:rsidRDefault="00574242" w:rsidP="005742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Cs w:val="24"/>
        </w:rPr>
      </w:pPr>
      <w:r w:rsidRPr="0086331F">
        <w:rPr>
          <w:szCs w:val="24"/>
        </w:rPr>
        <w:t>It is important that:</w:t>
      </w:r>
    </w:p>
    <w:p w14:paraId="5C15A759" w14:textId="77777777" w:rsidR="00574242" w:rsidRPr="0086331F" w:rsidRDefault="00574242" w:rsidP="00574242">
      <w:pPr>
        <w:pStyle w:val="Bullet10"/>
        <w:spacing w:before="60" w:after="60"/>
        <w:rPr>
          <w:szCs w:val="24"/>
        </w:rPr>
      </w:pPr>
      <w:r w:rsidRPr="0086331F">
        <w:rPr>
          <w:szCs w:val="24"/>
        </w:rPr>
        <w:t>o</w:t>
      </w:r>
      <w:r w:rsidRPr="0086331F">
        <w:rPr>
          <w:szCs w:val="24"/>
        </w:rPr>
        <w:tab/>
        <w:t>The State records each intra-State transfer in the receiving and donating agencies/funds during the same fiscal year.</w:t>
      </w:r>
    </w:p>
    <w:p w14:paraId="45C1D720" w14:textId="77777777" w:rsidR="00574242" w:rsidRPr="0086331F" w:rsidRDefault="00574242" w:rsidP="00574242">
      <w:pPr>
        <w:pStyle w:val="Bullet10"/>
        <w:spacing w:before="60" w:after="60"/>
        <w:rPr>
          <w:szCs w:val="24"/>
        </w:rPr>
      </w:pPr>
      <w:r w:rsidRPr="0086331F">
        <w:rPr>
          <w:szCs w:val="24"/>
        </w:rPr>
        <w:t>o</w:t>
      </w:r>
      <w:r w:rsidRPr="0086331F">
        <w:rPr>
          <w:szCs w:val="24"/>
        </w:rPr>
        <w:tab/>
        <w:t>Both agencies/funds follow uniform policies for recording historical cost and accumulated depreciation of transferred assets.</w:t>
      </w:r>
    </w:p>
    <w:p w14:paraId="58D2C853" w14:textId="2D7005C2" w:rsidR="00574242" w:rsidRPr="0099749D" w:rsidRDefault="0088742B" w:rsidP="00362166">
      <w:pPr>
        <w:pStyle w:val="Bullet10"/>
        <w:spacing w:before="60" w:after="60"/>
        <w:rPr>
          <w:szCs w:val="24"/>
        </w:rPr>
      </w:pPr>
      <w:r w:rsidRPr="0086331F">
        <w:rPr>
          <w:szCs w:val="24"/>
        </w:rPr>
        <w:t>o</w:t>
      </w:r>
      <w:r w:rsidRPr="0086331F">
        <w:rPr>
          <w:szCs w:val="24"/>
        </w:rPr>
        <w:tab/>
        <w:t>A transfer</w:t>
      </w:r>
      <w:r w:rsidR="00931701" w:rsidRPr="0086331F">
        <w:rPr>
          <w:szCs w:val="24"/>
        </w:rPr>
        <w:t xml:space="preserve"> should</w:t>
      </w:r>
      <w:r w:rsidRPr="0086331F">
        <w:rPr>
          <w:szCs w:val="24"/>
        </w:rPr>
        <w:t xml:space="preserve"> </w:t>
      </w:r>
      <w:r w:rsidRPr="0086331F">
        <w:rPr>
          <w:b/>
          <w:szCs w:val="24"/>
          <w:u w:val="single"/>
        </w:rPr>
        <w:t>not be reflected</w:t>
      </w:r>
      <w:r w:rsidRPr="0086331F">
        <w:rPr>
          <w:szCs w:val="24"/>
        </w:rPr>
        <w:t xml:space="preserve"> as a retirement or a purchase by the agencies involved. </w:t>
      </w:r>
    </w:p>
    <w:bookmarkEnd w:id="261"/>
    <w:p w14:paraId="295BF883" w14:textId="741B1DC5" w:rsidR="00574242" w:rsidRPr="0099749D" w:rsidRDefault="00931701" w:rsidP="0057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Cs w:val="24"/>
        </w:rPr>
      </w:pPr>
      <w:r>
        <w:rPr>
          <w:szCs w:val="24"/>
        </w:rPr>
        <w:t>A</w:t>
      </w:r>
      <w:r w:rsidR="00574242" w:rsidRPr="0099749D">
        <w:rPr>
          <w:szCs w:val="24"/>
        </w:rPr>
        <w:t xml:space="preserve">gencies </w:t>
      </w:r>
      <w:r>
        <w:rPr>
          <w:szCs w:val="24"/>
        </w:rPr>
        <w:t xml:space="preserve">that are not live in SCEIS </w:t>
      </w:r>
      <w:r w:rsidR="00574242" w:rsidRPr="0099749D">
        <w:rPr>
          <w:szCs w:val="24"/>
        </w:rPr>
        <w:t xml:space="preserve">should </w:t>
      </w:r>
      <w:r w:rsidR="002C207C">
        <w:rPr>
          <w:szCs w:val="24"/>
        </w:rPr>
        <w:t xml:space="preserve">not </w:t>
      </w:r>
      <w:r w:rsidR="00574242" w:rsidRPr="0099749D">
        <w:rPr>
          <w:szCs w:val="24"/>
        </w:rPr>
        <w:t xml:space="preserve">record depreciation on a capital asset during the </w:t>
      </w:r>
      <w:r>
        <w:rPr>
          <w:szCs w:val="24"/>
        </w:rPr>
        <w:t>month</w:t>
      </w:r>
      <w:r w:rsidR="00574242" w:rsidRPr="0099749D">
        <w:rPr>
          <w:szCs w:val="24"/>
        </w:rPr>
        <w:t xml:space="preserve"> transferred out to another agency or fund.  </w:t>
      </w:r>
      <w:r w:rsidR="00E832D0">
        <w:rPr>
          <w:szCs w:val="24"/>
        </w:rPr>
        <w:t xml:space="preserve">Depreciation </w:t>
      </w:r>
      <w:r w:rsidR="00574242" w:rsidRPr="0099749D">
        <w:rPr>
          <w:szCs w:val="24"/>
        </w:rPr>
        <w:t xml:space="preserve">should </w:t>
      </w:r>
      <w:r w:rsidR="00E832D0">
        <w:rPr>
          <w:szCs w:val="24"/>
        </w:rPr>
        <w:t xml:space="preserve">be </w:t>
      </w:r>
      <w:r w:rsidR="00574242" w:rsidRPr="0099749D">
        <w:rPr>
          <w:szCs w:val="24"/>
        </w:rPr>
        <w:t>record</w:t>
      </w:r>
      <w:r w:rsidR="00E832D0">
        <w:rPr>
          <w:szCs w:val="24"/>
        </w:rPr>
        <w:t>ed</w:t>
      </w:r>
      <w:r w:rsidR="00574242" w:rsidRPr="0099749D">
        <w:rPr>
          <w:szCs w:val="24"/>
        </w:rPr>
        <w:t xml:space="preserve"> during the current </w:t>
      </w:r>
      <w:r w:rsidR="009A0531">
        <w:rPr>
          <w:szCs w:val="24"/>
        </w:rPr>
        <w:t xml:space="preserve">month </w:t>
      </w:r>
      <w:r w:rsidR="009A0531" w:rsidRPr="0099749D">
        <w:rPr>
          <w:szCs w:val="24"/>
        </w:rPr>
        <w:t>for</w:t>
      </w:r>
      <w:r w:rsidR="00574242" w:rsidRPr="0099749D">
        <w:rPr>
          <w:szCs w:val="24"/>
        </w:rPr>
        <w:t xml:space="preserve"> capital assets transferred in from another agency or fund during th</w:t>
      </w:r>
      <w:r>
        <w:rPr>
          <w:szCs w:val="24"/>
        </w:rPr>
        <w:t>at month.  For Agencies utilizing SCEIS, the system will reflect the depreciation based on the date of the transfer</w:t>
      </w:r>
      <w:r w:rsidR="00574242" w:rsidRPr="0099749D">
        <w:rPr>
          <w:szCs w:val="24"/>
        </w:rPr>
        <w:t xml:space="preserve">. </w:t>
      </w:r>
      <w:r w:rsidR="002C207C">
        <w:rPr>
          <w:szCs w:val="24"/>
        </w:rPr>
        <w:t xml:space="preserve"> </w:t>
      </w:r>
    </w:p>
    <w:p w14:paraId="485983B2" w14:textId="77777777" w:rsidR="00574242" w:rsidRPr="0099749D" w:rsidRDefault="00574242" w:rsidP="00574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bCs/>
          <w:szCs w:val="24"/>
        </w:rPr>
      </w:pPr>
      <w:r w:rsidRPr="0099749D">
        <w:rPr>
          <w:b/>
          <w:bCs/>
          <w:szCs w:val="24"/>
        </w:rPr>
        <w:t xml:space="preserve">The most important part of accounting for transfers between agencies is making sure the dollar amounts for book value and accumulated depreciation being added to the receiving agency are the same dollar amounts being removed from the transferring agency.  </w:t>
      </w:r>
      <w:r w:rsidRPr="005D0457">
        <w:rPr>
          <w:bCs/>
          <w:szCs w:val="24"/>
        </w:rPr>
        <w:t>Communication between agencies is extremely important when accounting for intra-State transfers.</w:t>
      </w:r>
    </w:p>
    <w:p w14:paraId="2D1E0FCB" w14:textId="17F7C733" w:rsidR="005373B0" w:rsidRDefault="005373B0" w:rsidP="00574242">
      <w:pPr>
        <w:rPr>
          <w:szCs w:val="24"/>
        </w:rPr>
      </w:pPr>
    </w:p>
    <w:p w14:paraId="17626397" w14:textId="77777777" w:rsidR="00362166" w:rsidRDefault="00362166" w:rsidP="00574242">
      <w:pPr>
        <w:rPr>
          <w:szCs w:val="24"/>
        </w:rPr>
      </w:pPr>
    </w:p>
    <w:p w14:paraId="4096422A" w14:textId="7CD296D8" w:rsidR="0012040B" w:rsidRPr="00BB6B2D" w:rsidRDefault="00AD33F9" w:rsidP="003B02BA">
      <w:pPr>
        <w:pStyle w:val="Heading2"/>
      </w:pPr>
      <w:bookmarkStart w:id="262" w:name="_Toc166149264"/>
      <w:r w:rsidRPr="00BB6B2D">
        <w:lastRenderedPageBreak/>
        <w:t xml:space="preserve">Section _.9 </w:t>
      </w:r>
      <w:r w:rsidR="00CD24A6" w:rsidRPr="00BB6B2D">
        <w:t>Leases</w:t>
      </w:r>
      <w:bookmarkEnd w:id="262"/>
    </w:p>
    <w:p w14:paraId="2A090156" w14:textId="4F6FBA4B" w:rsidR="00AD33F9" w:rsidRPr="00BB6B2D" w:rsidRDefault="00AD33F9" w:rsidP="00537A51">
      <w:pPr>
        <w:spacing w:before="80" w:after="80" w:line="240" w:lineRule="exact"/>
        <w:rPr>
          <w:szCs w:val="24"/>
        </w:rPr>
      </w:pPr>
      <w:r w:rsidRPr="00BB6B2D">
        <w:rPr>
          <w:szCs w:val="24"/>
        </w:rPr>
        <w:t xml:space="preserve">Guidance from GAAP regarding leases </w:t>
      </w:r>
      <w:r w:rsidR="009A0531" w:rsidRPr="00BB6B2D">
        <w:rPr>
          <w:szCs w:val="24"/>
        </w:rPr>
        <w:t>appears</w:t>
      </w:r>
      <w:r w:rsidRPr="00BB6B2D">
        <w:rPr>
          <w:szCs w:val="24"/>
        </w:rPr>
        <w:t xml:space="preserve"> in: </w:t>
      </w:r>
    </w:p>
    <w:p w14:paraId="271079CD" w14:textId="2F9E0262" w:rsidR="00AD33F9" w:rsidRPr="00BB6B2D" w:rsidRDefault="00AD33F9" w:rsidP="00537A51">
      <w:pPr>
        <w:pStyle w:val="Bullet10"/>
        <w:spacing w:before="80" w:after="80" w:line="240" w:lineRule="exact"/>
        <w:rPr>
          <w:szCs w:val="24"/>
        </w:rPr>
      </w:pPr>
      <w:r w:rsidRPr="00BB6B2D">
        <w:rPr>
          <w:szCs w:val="24"/>
        </w:rPr>
        <w:t>o</w:t>
      </w:r>
      <w:r w:rsidRPr="00BB6B2D">
        <w:rPr>
          <w:szCs w:val="24"/>
        </w:rPr>
        <w:tab/>
        <w:t xml:space="preserve">Governmental Accounting Standards Board (GASB) Statement </w:t>
      </w:r>
      <w:r w:rsidR="00537A51" w:rsidRPr="00BB6B2D">
        <w:rPr>
          <w:szCs w:val="24"/>
        </w:rPr>
        <w:t>87</w:t>
      </w:r>
      <w:r w:rsidRPr="00BB6B2D">
        <w:rPr>
          <w:szCs w:val="24"/>
        </w:rPr>
        <w:t>, "</w:t>
      </w:r>
      <w:r w:rsidR="00A70C81" w:rsidRPr="00BB6B2D">
        <w:rPr>
          <w:szCs w:val="24"/>
        </w:rPr>
        <w:t>Leases</w:t>
      </w:r>
      <w:r w:rsidRPr="00BB6B2D">
        <w:rPr>
          <w:szCs w:val="24"/>
        </w:rPr>
        <w:t>"</w:t>
      </w:r>
    </w:p>
    <w:p w14:paraId="64F91183" w14:textId="5D73EF49" w:rsidR="00A76BFC" w:rsidRDefault="00A76BFC" w:rsidP="00A76BFC">
      <w:r w:rsidRPr="00BB6B2D">
        <w:rPr>
          <w:szCs w:val="24"/>
        </w:rPr>
        <w:t xml:space="preserve">Lease accounting is based on the principle that leases are financings of the right to use an underlying financial asset.  </w:t>
      </w:r>
      <w:r w:rsidR="0057638B">
        <w:t xml:space="preserve">For purposes of applying this Statement, a lease is defined as a contract that conveys control of the right to use another entity’s nonfinancial asset (the underlying asset) as specified in the contract for </w:t>
      </w:r>
      <w:proofErr w:type="gramStart"/>
      <w:r w:rsidR="0057638B">
        <w:t>a period of time</w:t>
      </w:r>
      <w:proofErr w:type="gramEnd"/>
      <w:r w:rsidR="0057638B">
        <w:t xml:space="preserve"> in an exchange or exchange-like transaction.</w:t>
      </w:r>
      <w:r w:rsidR="0057638B" w:rsidRPr="0057638B">
        <w:t xml:space="preserve"> </w:t>
      </w:r>
      <w:r w:rsidR="0057638B">
        <w:t>To determine whether a contract conveys control of the right to use the underlying asset, a government should assess whether it has both of the following:</w:t>
      </w:r>
    </w:p>
    <w:p w14:paraId="43AFA959" w14:textId="431EACA7" w:rsidR="0057638B" w:rsidRPr="00851CA5" w:rsidRDefault="0057638B" w:rsidP="00C45492">
      <w:pPr>
        <w:pStyle w:val="ListParagraph"/>
        <w:numPr>
          <w:ilvl w:val="0"/>
          <w:numId w:val="53"/>
        </w:numPr>
        <w:rPr>
          <w:szCs w:val="24"/>
        </w:rPr>
      </w:pPr>
      <w:r>
        <w:t>The right to obtain the present service capacity from use of the underlying asset as specified in the contract</w:t>
      </w:r>
    </w:p>
    <w:p w14:paraId="0AD25F35" w14:textId="48F23360" w:rsidR="0057638B" w:rsidRPr="0057638B" w:rsidRDefault="0057638B" w:rsidP="00C45492">
      <w:pPr>
        <w:pStyle w:val="ListParagraph"/>
        <w:numPr>
          <w:ilvl w:val="0"/>
          <w:numId w:val="53"/>
        </w:numPr>
        <w:rPr>
          <w:szCs w:val="24"/>
        </w:rPr>
      </w:pPr>
      <w:r>
        <w:t>The right to determine the nature and manner of use of the underlying asset as specified in the contract.</w:t>
      </w:r>
    </w:p>
    <w:p w14:paraId="239D0F3A" w14:textId="78291819" w:rsidR="00A76BFC" w:rsidRDefault="00AD33F9" w:rsidP="00AD33F9">
      <w:pPr>
        <w:rPr>
          <w:szCs w:val="24"/>
        </w:rPr>
      </w:pPr>
      <w:r w:rsidRPr="00BB6B2D">
        <w:rPr>
          <w:szCs w:val="24"/>
        </w:rPr>
        <w:t xml:space="preserve">Accounting and Finance personnel within the agency must </w:t>
      </w:r>
      <w:r w:rsidR="0057638B">
        <w:rPr>
          <w:szCs w:val="24"/>
        </w:rPr>
        <w:t xml:space="preserve">then </w:t>
      </w:r>
      <w:r w:rsidRPr="00BB6B2D">
        <w:rPr>
          <w:szCs w:val="24"/>
        </w:rPr>
        <w:t xml:space="preserve">examine and analyze the terms of each lease agreement to determine whether the lease is </w:t>
      </w:r>
      <w:r w:rsidR="00A70C81" w:rsidRPr="00BB6B2D">
        <w:rPr>
          <w:szCs w:val="24"/>
        </w:rPr>
        <w:t>short term</w:t>
      </w:r>
      <w:r w:rsidR="00DA1AD7">
        <w:rPr>
          <w:szCs w:val="24"/>
        </w:rPr>
        <w:t>, excluded</w:t>
      </w:r>
      <w:r w:rsidR="00A70C81" w:rsidRPr="00BB6B2D">
        <w:rPr>
          <w:szCs w:val="24"/>
        </w:rPr>
        <w:t xml:space="preserve"> or </w:t>
      </w:r>
      <w:r w:rsidR="00DA1AD7">
        <w:rPr>
          <w:szCs w:val="24"/>
        </w:rPr>
        <w:t>subject to GASB 87 requirements.</w:t>
      </w:r>
      <w:r w:rsidR="00F04667" w:rsidRPr="00BB6B2D">
        <w:rPr>
          <w:szCs w:val="24"/>
        </w:rPr>
        <w:t xml:space="preserve"> </w:t>
      </w:r>
    </w:p>
    <w:p w14:paraId="6EEF07B9" w14:textId="06B9B989" w:rsidR="00AD33F9" w:rsidRPr="00BB6B2D" w:rsidRDefault="00AD33F9" w:rsidP="00AD33F9">
      <w:pPr>
        <w:pStyle w:val="Heading3"/>
      </w:pPr>
      <w:bookmarkStart w:id="263" w:name="_Toc166149265"/>
      <w:r w:rsidRPr="00BB6B2D">
        <w:t>Accounting for Leases</w:t>
      </w:r>
      <w:bookmarkEnd w:id="263"/>
    </w:p>
    <w:p w14:paraId="70BCC669" w14:textId="48CFBCE5" w:rsidR="00DA1AD7" w:rsidRDefault="00DA1AD7" w:rsidP="00DA1AD7">
      <w:pPr>
        <w:rPr>
          <w:szCs w:val="24"/>
        </w:rPr>
      </w:pPr>
      <w:r w:rsidRPr="00BB6B2D">
        <w:rPr>
          <w:szCs w:val="24"/>
        </w:rPr>
        <w:t xml:space="preserve">If </w:t>
      </w:r>
      <w:r>
        <w:rPr>
          <w:szCs w:val="24"/>
        </w:rPr>
        <w:t xml:space="preserve">a </w:t>
      </w:r>
      <w:r w:rsidRPr="00BB6B2D">
        <w:rPr>
          <w:szCs w:val="24"/>
        </w:rPr>
        <w:t>lease is less than 12 months and/or the underlying the contract transfers ownership at the end of the purchase (financed purchase) then lease accounting does not apply.</w:t>
      </w:r>
      <w:r>
        <w:rPr>
          <w:szCs w:val="24"/>
        </w:rPr>
        <w:t xml:space="preserve"> Machinery and equipment with present value of $5,000 or less is excluded from GASB 87 accounting requirements. There are no exclusions other than short-term for land and buildings.</w:t>
      </w:r>
    </w:p>
    <w:p w14:paraId="1514A734" w14:textId="77777777" w:rsidR="00DA1AD7" w:rsidRDefault="00DA1AD7" w:rsidP="00DA1AD7">
      <w:pPr>
        <w:rPr>
          <w:szCs w:val="24"/>
        </w:rPr>
      </w:pPr>
      <w:r w:rsidRPr="00BF3CD5">
        <w:rPr>
          <w:szCs w:val="24"/>
        </w:rPr>
        <w:t xml:space="preserve">The following specific types of leases are </w:t>
      </w:r>
      <w:r w:rsidRPr="00BF3CD5">
        <w:rPr>
          <w:b/>
          <w:i/>
          <w:szCs w:val="24"/>
          <w:u w:val="single"/>
        </w:rPr>
        <w:t>excluded</w:t>
      </w:r>
      <w:r w:rsidRPr="00BF3CD5">
        <w:rPr>
          <w:szCs w:val="24"/>
        </w:rPr>
        <w:t xml:space="preserve"> from this package based on lease type.  They include:</w:t>
      </w:r>
    </w:p>
    <w:p w14:paraId="545F2F82" w14:textId="77777777" w:rsidR="00DA1AD7" w:rsidRPr="00BF3CD5" w:rsidRDefault="00DA1AD7" w:rsidP="00C45492">
      <w:pPr>
        <w:pStyle w:val="ListParagraph"/>
        <w:numPr>
          <w:ilvl w:val="0"/>
          <w:numId w:val="52"/>
        </w:numPr>
        <w:rPr>
          <w:szCs w:val="24"/>
        </w:rPr>
      </w:pPr>
      <w:r w:rsidRPr="00BF3CD5">
        <w:rPr>
          <w:szCs w:val="24"/>
        </w:rPr>
        <w:t>Post Office boxes and postal equipment</w:t>
      </w:r>
    </w:p>
    <w:p w14:paraId="62AE8237" w14:textId="77777777" w:rsidR="00DA1AD7" w:rsidRDefault="00DA1AD7" w:rsidP="00C45492">
      <w:pPr>
        <w:pStyle w:val="ListParagraph"/>
        <w:numPr>
          <w:ilvl w:val="0"/>
          <w:numId w:val="52"/>
        </w:numPr>
        <w:rPr>
          <w:szCs w:val="24"/>
        </w:rPr>
      </w:pPr>
      <w:r w:rsidRPr="00BF3CD5">
        <w:rPr>
          <w:szCs w:val="24"/>
        </w:rPr>
        <w:t xml:space="preserve">Storage </w:t>
      </w:r>
      <w:r>
        <w:rPr>
          <w:szCs w:val="24"/>
        </w:rPr>
        <w:t>t</w:t>
      </w:r>
      <w:r w:rsidRPr="00BF3CD5">
        <w:rPr>
          <w:szCs w:val="24"/>
        </w:rPr>
        <w:t>anks</w:t>
      </w:r>
    </w:p>
    <w:p w14:paraId="5BC658B6" w14:textId="77777777" w:rsidR="00DA1AD7" w:rsidRDefault="00DA1AD7" w:rsidP="00C45492">
      <w:pPr>
        <w:pStyle w:val="ListParagraph"/>
        <w:numPr>
          <w:ilvl w:val="0"/>
          <w:numId w:val="52"/>
        </w:numPr>
        <w:rPr>
          <w:szCs w:val="24"/>
        </w:rPr>
      </w:pPr>
      <w:r>
        <w:rPr>
          <w:szCs w:val="24"/>
        </w:rPr>
        <w:t>Parking</w:t>
      </w:r>
    </w:p>
    <w:p w14:paraId="63462B10" w14:textId="77777777" w:rsidR="00DA1AD7" w:rsidRDefault="00DA1AD7" w:rsidP="00C45492">
      <w:pPr>
        <w:pStyle w:val="ListParagraph"/>
        <w:numPr>
          <w:ilvl w:val="0"/>
          <w:numId w:val="52"/>
        </w:numPr>
        <w:rPr>
          <w:szCs w:val="24"/>
        </w:rPr>
      </w:pPr>
      <w:r>
        <w:rPr>
          <w:szCs w:val="24"/>
        </w:rPr>
        <w:t>Storage space/Units</w:t>
      </w:r>
    </w:p>
    <w:p w14:paraId="15EEE2B3" w14:textId="77777777" w:rsidR="00DA1AD7" w:rsidRDefault="00DA1AD7" w:rsidP="00C45492">
      <w:pPr>
        <w:pStyle w:val="ListParagraph"/>
        <w:numPr>
          <w:ilvl w:val="0"/>
          <w:numId w:val="52"/>
        </w:numPr>
        <w:rPr>
          <w:szCs w:val="24"/>
        </w:rPr>
      </w:pPr>
      <w:r>
        <w:rPr>
          <w:szCs w:val="24"/>
        </w:rPr>
        <w:t>Towers</w:t>
      </w:r>
    </w:p>
    <w:p w14:paraId="087BB75C" w14:textId="38866F9F" w:rsidR="00DA1AD7" w:rsidRDefault="00DA1AD7" w:rsidP="00C45492">
      <w:pPr>
        <w:pStyle w:val="ListParagraph"/>
        <w:numPr>
          <w:ilvl w:val="0"/>
          <w:numId w:val="52"/>
        </w:numPr>
        <w:rPr>
          <w:szCs w:val="24"/>
        </w:rPr>
      </w:pPr>
      <w:r>
        <w:rPr>
          <w:szCs w:val="24"/>
        </w:rPr>
        <w:t>Trash containers</w:t>
      </w:r>
    </w:p>
    <w:p w14:paraId="1874EC5F" w14:textId="7167FED8" w:rsidR="0057638B" w:rsidRDefault="0057638B" w:rsidP="0057638B">
      <w:pPr>
        <w:rPr>
          <w:szCs w:val="24"/>
        </w:rPr>
      </w:pPr>
      <w:r>
        <w:rPr>
          <w:szCs w:val="24"/>
        </w:rPr>
        <w:t>Other exclusions per GASB 87 include:</w:t>
      </w:r>
    </w:p>
    <w:p w14:paraId="3DA8ABCA" w14:textId="45FFD77C" w:rsidR="0057638B" w:rsidRDefault="0057638B" w:rsidP="00C45492">
      <w:pPr>
        <w:pStyle w:val="ListParagraph"/>
        <w:numPr>
          <w:ilvl w:val="0"/>
          <w:numId w:val="54"/>
        </w:numPr>
        <w:rPr>
          <w:szCs w:val="24"/>
        </w:rPr>
      </w:pPr>
      <w:r>
        <w:rPr>
          <w:szCs w:val="24"/>
        </w:rPr>
        <w:t>Leases of intangible assets</w:t>
      </w:r>
    </w:p>
    <w:p w14:paraId="02FA9BA6" w14:textId="34C07DCC" w:rsidR="0057638B" w:rsidRDefault="0057638B" w:rsidP="00C45492">
      <w:pPr>
        <w:pStyle w:val="ListParagraph"/>
        <w:numPr>
          <w:ilvl w:val="0"/>
          <w:numId w:val="54"/>
        </w:numPr>
        <w:rPr>
          <w:szCs w:val="24"/>
        </w:rPr>
      </w:pPr>
      <w:r>
        <w:rPr>
          <w:szCs w:val="24"/>
        </w:rPr>
        <w:t>Leases of biological asset</w:t>
      </w:r>
    </w:p>
    <w:p w14:paraId="7B4C8B62" w14:textId="77777777" w:rsidR="0057638B" w:rsidRPr="00851CA5" w:rsidRDefault="0057638B" w:rsidP="00C45492">
      <w:pPr>
        <w:pStyle w:val="ListParagraph"/>
        <w:numPr>
          <w:ilvl w:val="0"/>
          <w:numId w:val="54"/>
        </w:numPr>
      </w:pPr>
      <w:r w:rsidRPr="0057638B">
        <w:rPr>
          <w:szCs w:val="24"/>
        </w:rPr>
        <w:t>Leases of Inventory</w:t>
      </w:r>
    </w:p>
    <w:p w14:paraId="2EC3DB6B" w14:textId="428C24FD" w:rsidR="00DA1AD7" w:rsidRDefault="0057638B" w:rsidP="00C45492">
      <w:pPr>
        <w:pStyle w:val="ListParagraph"/>
        <w:numPr>
          <w:ilvl w:val="0"/>
          <w:numId w:val="54"/>
        </w:numPr>
      </w:pPr>
      <w:r>
        <w:t>Contracts that meet the definition of a service concession arrangement</w:t>
      </w:r>
    </w:p>
    <w:p w14:paraId="1573D774" w14:textId="20824B90" w:rsidR="0057638B" w:rsidRDefault="0057638B" w:rsidP="00C45492">
      <w:pPr>
        <w:pStyle w:val="ListParagraph"/>
        <w:numPr>
          <w:ilvl w:val="0"/>
          <w:numId w:val="54"/>
        </w:numPr>
      </w:pPr>
      <w:r>
        <w:t>Leases in which the underlying asset is financed with outstanding conduit debt</w:t>
      </w:r>
    </w:p>
    <w:p w14:paraId="41999F4A" w14:textId="6059F81B" w:rsidR="0057638B" w:rsidRDefault="0057638B" w:rsidP="00C45492">
      <w:pPr>
        <w:pStyle w:val="ListParagraph"/>
        <w:numPr>
          <w:ilvl w:val="0"/>
          <w:numId w:val="54"/>
        </w:numPr>
      </w:pPr>
      <w:r>
        <w:t>Supply contracts</w:t>
      </w:r>
    </w:p>
    <w:p w14:paraId="31BC51F5" w14:textId="77777777" w:rsidR="005E4666" w:rsidRDefault="005E4666" w:rsidP="00851CA5">
      <w:r>
        <w:t xml:space="preserve">A lessee should recognize short-term lease payments as outflows of resources (for example, expense) based on the payment provisions of the lease contract. The lessee should recognize an asset if payments are made in advance or a liability for rent due if payments are to be made </w:t>
      </w:r>
      <w:proofErr w:type="gramStart"/>
      <w:r>
        <w:t>subsequent to</w:t>
      </w:r>
      <w:proofErr w:type="gramEnd"/>
      <w:r>
        <w:t xml:space="preserve"> the reporting period. The </w:t>
      </w:r>
      <w:r>
        <w:lastRenderedPageBreak/>
        <w:t>lessee should not recognize an outflow of resources during any rent holiday period (for example, one or more months free).</w:t>
      </w:r>
    </w:p>
    <w:p w14:paraId="2D272763" w14:textId="0E961D67" w:rsidR="005E4666" w:rsidRDefault="005E4666" w:rsidP="005E4666">
      <w:pPr>
        <w:rPr>
          <w:u w:val="single"/>
        </w:rPr>
      </w:pPr>
      <w:r w:rsidRPr="00851CA5">
        <w:rPr>
          <w:u w:val="single"/>
        </w:rPr>
        <w:t>Determining the Lease Term</w:t>
      </w:r>
    </w:p>
    <w:p w14:paraId="2FF2C226" w14:textId="474ADD00" w:rsidR="005E4666" w:rsidRDefault="005E4666" w:rsidP="005E4666">
      <w:r w:rsidRPr="00851CA5">
        <w:t>The lease term is the period during which a lessee has a noncancelable</w:t>
      </w:r>
      <w:r>
        <w:t xml:space="preserve"> </w:t>
      </w:r>
      <w:r w:rsidRPr="00851CA5">
        <w:t>right to use an underlying asset (referred to as the noncancelable period)</w:t>
      </w:r>
      <w:r>
        <w:t xml:space="preserve">. Periods for which both the lessee and the lessor have an option to terminate the lease without permission from the other party (or if both parties </w:t>
      </w:r>
      <w:proofErr w:type="gramStart"/>
      <w:r>
        <w:t>have to</w:t>
      </w:r>
      <w:proofErr w:type="gramEnd"/>
      <w:r>
        <w:t xml:space="preserve"> agree to extend) are cancelable periods and are excluded from the lease term.</w:t>
      </w:r>
    </w:p>
    <w:p w14:paraId="1E0D2A2F" w14:textId="27F1C0E4" w:rsidR="005E4666" w:rsidRDefault="005E4666" w:rsidP="005E4666">
      <w:r>
        <w:t>NOTE: A fiscal funding or cancellation clause allows governmental lessees to cancel a lease, typically on an annual basis, if the government does not appropriate funds for the lease payments. This type of clause should affect the lease term only if it is reasonably certain that the clause will be exercised.</w:t>
      </w:r>
    </w:p>
    <w:p w14:paraId="61063C79" w14:textId="77777777" w:rsidR="005E4666" w:rsidRPr="005E4666" w:rsidRDefault="005E4666"/>
    <w:p w14:paraId="2D5EDCB6" w14:textId="77777777" w:rsidR="00A977AC" w:rsidRPr="004F2B02" w:rsidRDefault="00A977AC" w:rsidP="00A977AC">
      <w:pPr>
        <w:pStyle w:val="Heading3"/>
      </w:pPr>
      <w:bookmarkStart w:id="264" w:name="_Toc480379825"/>
      <w:bookmarkStart w:id="265" w:name="_Toc166149266"/>
      <w:r w:rsidRPr="004F2B02">
        <w:t>Five-Year Increments after the First Five Subsequent Fiscal Years</w:t>
      </w:r>
      <w:bookmarkEnd w:id="264"/>
      <w:bookmarkEnd w:id="265"/>
    </w:p>
    <w:p w14:paraId="2B460DFB" w14:textId="77777777" w:rsidR="00A977AC" w:rsidRPr="004F2B02" w:rsidRDefault="00A977AC" w:rsidP="00A977AC">
      <w:r w:rsidRPr="004F2B02">
        <w:t xml:space="preserve">GASB 87 requires the State to disclose the future minimum payments for each of the five subsequent fiscal years and in five-year increments thereafter for its obligations under leases.  </w:t>
      </w:r>
    </w:p>
    <w:p w14:paraId="3993242F" w14:textId="77777777" w:rsidR="00A977AC" w:rsidRPr="004F2B02" w:rsidRDefault="00A977AC" w:rsidP="00A977AC">
      <w:pPr>
        <w:pStyle w:val="Heading3"/>
      </w:pPr>
      <w:bookmarkStart w:id="266" w:name="_Toc480379826"/>
      <w:bookmarkStart w:id="267" w:name="_Toc166149267"/>
      <w:r w:rsidRPr="004F2B02">
        <w:t>Current Year Lease Payments</w:t>
      </w:r>
      <w:bookmarkEnd w:id="266"/>
      <w:bookmarkEnd w:id="267"/>
    </w:p>
    <w:p w14:paraId="5CDFFC49" w14:textId="268D3227" w:rsidR="00A977AC" w:rsidRPr="004F2B02" w:rsidRDefault="00A977AC" w:rsidP="00A977AC">
      <w:r w:rsidRPr="004F2B02">
        <w:t xml:space="preserve">GASB 87 also requires the disclosure of the related principal, interest and executory costs of lease payments for the current fiscal year for </w:t>
      </w:r>
      <w:r w:rsidRPr="004F2B02">
        <w:rPr>
          <w:i/>
          <w:iCs/>
          <w:u w:val="single"/>
        </w:rPr>
        <w:t>all</w:t>
      </w:r>
      <w:r w:rsidRPr="004F2B02">
        <w:t xml:space="preserve"> leases.</w:t>
      </w:r>
    </w:p>
    <w:p w14:paraId="17DE54DD" w14:textId="77777777" w:rsidR="00A977AC" w:rsidRPr="004F2B02" w:rsidRDefault="00A977AC" w:rsidP="00A977AC">
      <w:pPr>
        <w:pStyle w:val="Heading3"/>
      </w:pPr>
      <w:bookmarkStart w:id="268" w:name="_Toc480379827"/>
      <w:bookmarkStart w:id="269" w:name="_Toc166149268"/>
      <w:r w:rsidRPr="004F2B02">
        <w:t>Schedules of Leases</w:t>
      </w:r>
      <w:bookmarkEnd w:id="268"/>
      <w:bookmarkEnd w:id="269"/>
    </w:p>
    <w:p w14:paraId="476A5BAE" w14:textId="77777777" w:rsidR="00A977AC" w:rsidRPr="004F2B02" w:rsidRDefault="00A977AC" w:rsidP="00A977AC">
      <w:r w:rsidRPr="004F2B02">
        <w:t>Several of the disclosure requirements for leases could be satisfied by presenting a schedule for all leases with the following rows and columns:</w:t>
      </w:r>
    </w:p>
    <w:p w14:paraId="564C014B" w14:textId="7ABDBA4F" w:rsidR="00A977AC" w:rsidRPr="004F2B02" w:rsidRDefault="00A977AC" w:rsidP="00A977AC">
      <w:r w:rsidRPr="004F2B02">
        <w:t>Rows for each of the following:</w:t>
      </w:r>
    </w:p>
    <w:p w14:paraId="3CDA8758" w14:textId="77777777" w:rsidR="00A977AC" w:rsidRPr="004F2B02" w:rsidRDefault="00A977AC" w:rsidP="00A977AC">
      <w:pPr>
        <w:pStyle w:val="Bullet0"/>
      </w:pPr>
      <w:r w:rsidRPr="004F2B02">
        <w:lastRenderedPageBreak/>
        <w:t>Each of the next five years.</w:t>
      </w:r>
    </w:p>
    <w:p w14:paraId="2687006E" w14:textId="77777777" w:rsidR="00A977AC" w:rsidRPr="004F2B02" w:rsidRDefault="00A977AC" w:rsidP="00A977AC">
      <w:pPr>
        <w:pStyle w:val="Bullet0"/>
      </w:pPr>
      <w:r w:rsidRPr="004F2B02">
        <w:t>Separate five-year increments thereafter.</w:t>
      </w:r>
    </w:p>
    <w:p w14:paraId="24283E0D" w14:textId="77777777" w:rsidR="00A977AC" w:rsidRPr="004F2B02" w:rsidRDefault="00A977AC" w:rsidP="00A977AC">
      <w:pPr>
        <w:pStyle w:val="Bullet0"/>
      </w:pPr>
      <w:r w:rsidRPr="004F2B02">
        <w:t xml:space="preserve">Total payments (principal and interest separately reported in columns), </w:t>
      </w:r>
      <w:r w:rsidRPr="004F2B02">
        <w:rPr>
          <w:i/>
          <w:iCs/>
        </w:rPr>
        <w:t>excluding</w:t>
      </w:r>
      <w:r w:rsidRPr="004F2B02">
        <w:t xml:space="preserve"> contingent leases.</w:t>
      </w:r>
    </w:p>
    <w:p w14:paraId="2D6DF652" w14:textId="77777777" w:rsidR="00A977AC" w:rsidRPr="004F2B02" w:rsidRDefault="00A977AC" w:rsidP="00A977AC">
      <w:pPr>
        <w:pStyle w:val="Heading3"/>
      </w:pPr>
      <w:bookmarkStart w:id="270" w:name="_Toc480379828"/>
      <w:bookmarkStart w:id="271" w:name="_Toc166149269"/>
      <w:r w:rsidRPr="004F2B02">
        <w:t>Assets Acquired under Leases</w:t>
      </w:r>
      <w:bookmarkEnd w:id="270"/>
      <w:bookmarkEnd w:id="271"/>
    </w:p>
    <w:p w14:paraId="6E8F7231" w14:textId="5BA16621" w:rsidR="00A977AC" w:rsidRPr="004F2B02" w:rsidRDefault="00A977AC" w:rsidP="00A977AC">
      <w:pPr>
        <w:keepLines/>
      </w:pPr>
      <w:r w:rsidRPr="004F2B02">
        <w:t>GASB 87 requires separate presentation of the following: (a) total estimated value (at lease inception) of the assets recorded under a lease at the end of the fiscal year, detailed by the major asset categories you used in your capital asset disclosures, and (b) the accumulated amortization</w:t>
      </w:r>
      <w:r w:rsidRPr="004F2B02">
        <w:rPr>
          <w:rStyle w:val="FootnoteReference"/>
        </w:rPr>
        <w:footnoteReference w:id="33"/>
      </w:r>
      <w:r w:rsidRPr="004F2B02">
        <w:t xml:space="preserve"> amount associated with total capital assets acquired under leases at the end of the fiscal year.  For clarity, we also ask that agencies disclose (c) total assets acquired under leases net of accumulated amortization at the end of the fiscal year (sometimes labeled as </w:t>
      </w:r>
      <w:r w:rsidRPr="004F2B02">
        <w:rPr>
          <w:i/>
          <w:iCs/>
        </w:rPr>
        <w:t>book value</w:t>
      </w:r>
      <w:r w:rsidRPr="004F2B02">
        <w:t xml:space="preserve"> or </w:t>
      </w:r>
      <w:r w:rsidRPr="004F2B02">
        <w:rPr>
          <w:i/>
          <w:iCs/>
        </w:rPr>
        <w:t>carrying value</w:t>
      </w:r>
      <w:r w:rsidRPr="004F2B02">
        <w:t>) as illustrated in GASB 87.  Calculate item (c) as the total in (a) minus (b).</w:t>
      </w:r>
    </w:p>
    <w:p w14:paraId="101CC0CF" w14:textId="77777777" w:rsidR="00A977AC" w:rsidRPr="004F2B02" w:rsidRDefault="00A977AC" w:rsidP="00A977AC">
      <w:r w:rsidRPr="004F2B02">
        <w:t>Presenting a schedule with the following rows and columns could satisfy the GASB 87 disclosure requirements:</w:t>
      </w:r>
    </w:p>
    <w:p w14:paraId="3A1D742E" w14:textId="77777777" w:rsidR="00A977AC" w:rsidRPr="004F2B02" w:rsidRDefault="00A977AC" w:rsidP="00A977AC">
      <w:pPr>
        <w:keepNext/>
        <w:widowControl w:val="0"/>
        <w:ind w:left="180"/>
      </w:pPr>
      <w:r w:rsidRPr="004F2B02">
        <w:t>Rows for each of the following:</w:t>
      </w:r>
    </w:p>
    <w:p w14:paraId="16FEDE48" w14:textId="77777777" w:rsidR="00A977AC" w:rsidRPr="004F2B02" w:rsidRDefault="00A977AC" w:rsidP="00A977AC">
      <w:pPr>
        <w:pStyle w:val="Bullet0"/>
      </w:pPr>
      <w:r w:rsidRPr="004F2B02">
        <w:t>Each asset category having leased assets.</w:t>
      </w:r>
    </w:p>
    <w:p w14:paraId="4AA23444" w14:textId="77777777" w:rsidR="00A977AC" w:rsidRPr="004F2B02" w:rsidRDefault="00A977AC" w:rsidP="00A977AC">
      <w:pPr>
        <w:pStyle w:val="Bullet0"/>
      </w:pPr>
      <w:r w:rsidRPr="004F2B02">
        <w:t>Total assets acquired under leases (before accumulated amortization).</w:t>
      </w:r>
    </w:p>
    <w:p w14:paraId="4BBBF2D0" w14:textId="77777777" w:rsidR="00A977AC" w:rsidRPr="004F2B02" w:rsidRDefault="00A977AC" w:rsidP="00A977AC">
      <w:pPr>
        <w:pStyle w:val="Bullet0"/>
      </w:pPr>
      <w:r w:rsidRPr="004F2B02">
        <w:t>Less:  Accumulated amortization.</w:t>
      </w:r>
    </w:p>
    <w:p w14:paraId="045EF4CD" w14:textId="77777777" w:rsidR="00A977AC" w:rsidRPr="004F2B02" w:rsidRDefault="00A977AC" w:rsidP="00A977AC">
      <w:pPr>
        <w:pStyle w:val="Bullet0"/>
      </w:pPr>
      <w:r w:rsidRPr="004F2B02">
        <w:t>Total assets acquired under leases, net.</w:t>
      </w:r>
    </w:p>
    <w:p w14:paraId="5CD40C9F" w14:textId="648E84E4" w:rsidR="00A977AC" w:rsidRPr="002566D3" w:rsidRDefault="00B26EB3" w:rsidP="00A977AC">
      <w:pPr>
        <w:pStyle w:val="Heading3"/>
      </w:pPr>
      <w:bookmarkStart w:id="272" w:name="_Toc480379829"/>
      <w:bookmarkStart w:id="273" w:name="_Toc166149270"/>
      <w:r>
        <w:t>Assets</w:t>
      </w:r>
      <w:r w:rsidR="00A977AC" w:rsidRPr="002566D3">
        <w:t xml:space="preserve"> Leased to Others</w:t>
      </w:r>
      <w:bookmarkEnd w:id="272"/>
      <w:bookmarkEnd w:id="273"/>
    </w:p>
    <w:p w14:paraId="4DF5246D" w14:textId="53DA5434" w:rsidR="00A977AC" w:rsidRPr="002566D3" w:rsidRDefault="00A977AC" w:rsidP="00A977AC">
      <w:pPr>
        <w:keepNext/>
      </w:pPr>
      <w:r w:rsidRPr="002566D3">
        <w:t>The total cost of property</w:t>
      </w:r>
      <w:r w:rsidR="00B26EB3">
        <w:t xml:space="preserve"> and equipment</w:t>
      </w:r>
      <w:r w:rsidRPr="002566D3">
        <w:t xml:space="preserve"> leased to others under leases must be disclosed.  Presenting a schedule with the following rows and columns could satisfy this requirement:</w:t>
      </w:r>
    </w:p>
    <w:p w14:paraId="50833C51" w14:textId="77777777" w:rsidR="00A977AC" w:rsidRPr="002566D3" w:rsidRDefault="00A977AC" w:rsidP="00A977AC">
      <w:pPr>
        <w:keepNext/>
        <w:ind w:left="180"/>
      </w:pPr>
      <w:r w:rsidRPr="002566D3">
        <w:t>Rows for each of the following:</w:t>
      </w:r>
    </w:p>
    <w:p w14:paraId="55ADDDA5" w14:textId="77777777" w:rsidR="00A977AC" w:rsidRDefault="00A977AC" w:rsidP="00A977AC">
      <w:pPr>
        <w:pStyle w:val="Bullet0"/>
      </w:pPr>
      <w:r w:rsidRPr="002566D3">
        <w:t xml:space="preserve">Each category of capital assets as described in CAPITAL ASSETS—CATEGORIES FOR FINANCIAL REPORTING. </w:t>
      </w:r>
    </w:p>
    <w:p w14:paraId="0A1CE434" w14:textId="77777777" w:rsidR="00A977AC" w:rsidRDefault="00A977AC" w:rsidP="00A977AC">
      <w:pPr>
        <w:pStyle w:val="Bullet0"/>
      </w:pPr>
      <w:r w:rsidRPr="002566D3">
        <w:t>Less:  Depreciation.</w:t>
      </w:r>
    </w:p>
    <w:p w14:paraId="116B4987" w14:textId="77777777" w:rsidR="00A977AC" w:rsidRDefault="00A977AC" w:rsidP="00A977AC">
      <w:pPr>
        <w:pStyle w:val="Bullet0"/>
      </w:pPr>
      <w:r w:rsidRPr="002566D3">
        <w:t>Total carrying value.</w:t>
      </w:r>
    </w:p>
    <w:p w14:paraId="48F56711" w14:textId="77777777" w:rsidR="00A977AC" w:rsidRPr="002566D3" w:rsidRDefault="00A977AC" w:rsidP="00A977AC">
      <w:r w:rsidRPr="002566D3">
        <w:t xml:space="preserve">In addition, the future minimum </w:t>
      </w:r>
      <w:r>
        <w:t xml:space="preserve">lease </w:t>
      </w:r>
      <w:r w:rsidRPr="002566D3">
        <w:t>payments to be received from others must be disclosed.  Presenting a schedule with the following rows and columns could satisfy this requirement:</w:t>
      </w:r>
    </w:p>
    <w:p w14:paraId="097FE134" w14:textId="77777777" w:rsidR="00A977AC" w:rsidRPr="002566D3" w:rsidRDefault="00A977AC" w:rsidP="00A977AC">
      <w:pPr>
        <w:ind w:left="180"/>
      </w:pPr>
      <w:r w:rsidRPr="002566D3">
        <w:t>Rows for each of the following:</w:t>
      </w:r>
    </w:p>
    <w:p w14:paraId="09EF3C32" w14:textId="77777777" w:rsidR="00A977AC" w:rsidRDefault="00A977AC" w:rsidP="00A977AC">
      <w:pPr>
        <w:pStyle w:val="Bullet0"/>
      </w:pPr>
      <w:r w:rsidRPr="002566D3">
        <w:lastRenderedPageBreak/>
        <w:t>Each of the next five years.</w:t>
      </w:r>
    </w:p>
    <w:p w14:paraId="39E4F566" w14:textId="77777777" w:rsidR="00A977AC" w:rsidRDefault="00A977AC" w:rsidP="00A977AC">
      <w:pPr>
        <w:pStyle w:val="Bullet0"/>
      </w:pPr>
      <w:r w:rsidRPr="002566D3">
        <w:t>Separate five-year increments thereafter.</w:t>
      </w:r>
    </w:p>
    <w:p w14:paraId="1FA71C7A" w14:textId="77777777" w:rsidR="00A977AC" w:rsidRDefault="00A977AC" w:rsidP="00A977AC">
      <w:pPr>
        <w:pStyle w:val="Bullet0"/>
      </w:pPr>
      <w:r w:rsidRPr="002566D3">
        <w:t>Total future minimum payments to be received.</w:t>
      </w:r>
    </w:p>
    <w:p w14:paraId="748E7C45" w14:textId="77777777" w:rsidR="00A977AC" w:rsidRPr="002566D3" w:rsidRDefault="00A977AC" w:rsidP="00A977AC">
      <w:pPr>
        <w:pStyle w:val="Heading3"/>
      </w:pPr>
      <w:bookmarkStart w:id="274" w:name="_Toc480379830"/>
      <w:bookmarkStart w:id="275" w:name="_Toc166149271"/>
      <w:r w:rsidRPr="002566D3">
        <w:t>Contingent Rentals Associated with</w:t>
      </w:r>
      <w:r>
        <w:t xml:space="preserve"> </w:t>
      </w:r>
      <w:r w:rsidRPr="002566D3">
        <w:t>Leases</w:t>
      </w:r>
      <w:bookmarkEnd w:id="274"/>
      <w:bookmarkEnd w:id="275"/>
    </w:p>
    <w:p w14:paraId="19424A52" w14:textId="77777777" w:rsidR="00A977AC" w:rsidRPr="002566D3" w:rsidRDefault="00A977AC" w:rsidP="00A977AC">
      <w:r w:rsidRPr="002566D3">
        <w:rPr>
          <w:i/>
          <w:iCs/>
        </w:rPr>
        <w:t>Contingent rentals</w:t>
      </w:r>
      <w:r w:rsidRPr="002566D3">
        <w:t xml:space="preserve"> are rentals on which the amounts paid are dependent on some factor other than the passage of time.</w:t>
      </w:r>
    </w:p>
    <w:p w14:paraId="1F29EAF5" w14:textId="77777777" w:rsidR="00A977AC" w:rsidRPr="002566D3" w:rsidRDefault="00A977AC" w:rsidP="00A977AC">
      <w:pPr>
        <w:keepNext/>
      </w:pPr>
      <w:r>
        <w:t>GASB 87</w:t>
      </w:r>
      <w:r w:rsidRPr="002566D3">
        <w:t xml:space="preserve"> require</w:t>
      </w:r>
      <w:r>
        <w:t>s</w:t>
      </w:r>
      <w:r w:rsidRPr="002566D3">
        <w:t xml:space="preserve"> disclosure of the contingent rental expense as a separate amount, along with the </w:t>
      </w:r>
      <w:r w:rsidRPr="002566D3">
        <w:rPr>
          <w:i/>
          <w:iCs/>
        </w:rPr>
        <w:t>basis</w:t>
      </w:r>
      <w:r w:rsidRPr="002566D3">
        <w:t xml:space="preserve"> on which contingent rental payments are determined.  For copier leases paid on a cost-per-copy basis, the basis is “cost per copy.”  </w:t>
      </w:r>
      <w:r w:rsidRPr="002566D3">
        <w:rPr>
          <w:i/>
          <w:iCs/>
        </w:rPr>
        <w:t>Future</w:t>
      </w:r>
      <w:r w:rsidRPr="002566D3">
        <w:t xml:space="preserve"> contingent rentals need not be disclosed; disclose only the contingent rental amount paid during the </w:t>
      </w:r>
      <w:r w:rsidRPr="002566D3">
        <w:rPr>
          <w:i/>
          <w:iCs/>
        </w:rPr>
        <w:t>current</w:t>
      </w:r>
      <w:r w:rsidRPr="002566D3">
        <w:t xml:space="preserve"> fiscal year.  This disclosure for contingent rental expenses is separate from, and in addition to, the minimum lease payment information.</w:t>
      </w:r>
    </w:p>
    <w:p w14:paraId="26277134" w14:textId="0C0370D0" w:rsidR="00A977AC" w:rsidRDefault="00A977AC" w:rsidP="00A977AC">
      <w:pPr>
        <w:keepNext/>
        <w:widowControl w:val="0"/>
      </w:pPr>
      <w:r w:rsidRPr="002566D3">
        <w:t>In addition, the following must be disclosed in this situation:</w:t>
      </w:r>
    </w:p>
    <w:p w14:paraId="783C1759" w14:textId="77777777" w:rsidR="00A977AC" w:rsidRPr="00A977AC" w:rsidRDefault="00A977AC" w:rsidP="00A977AC">
      <w:pPr>
        <w:pStyle w:val="Bullet0"/>
      </w:pPr>
      <w:bookmarkStart w:id="276" w:name="_Toc480379831"/>
      <w:r w:rsidRPr="00A977AC">
        <w:t>Contingent rentals paid during the current year to discretely presented component units under leases.</w:t>
      </w:r>
    </w:p>
    <w:p w14:paraId="3458B8BA" w14:textId="7BDE00F6" w:rsidR="00A977AC" w:rsidRPr="008A7BE4" w:rsidRDefault="00A977AC" w:rsidP="00A977AC">
      <w:pPr>
        <w:pStyle w:val="Bullet0"/>
      </w:pPr>
      <w:r w:rsidRPr="008A7BE4">
        <w:t>Contingent rentals paid during the current year to external parties under leases.</w:t>
      </w:r>
    </w:p>
    <w:p w14:paraId="16F0DB3A" w14:textId="02E56FC2" w:rsidR="00A977AC" w:rsidRPr="008A7BE4" w:rsidRDefault="00A977AC" w:rsidP="00A977AC">
      <w:pPr>
        <w:pStyle w:val="Bullet0"/>
      </w:pPr>
      <w:r w:rsidRPr="008A7BE4">
        <w:t>Contingent rentals paid during the current year to other State agencies and blended component units under leases.</w:t>
      </w:r>
    </w:p>
    <w:bookmarkEnd w:id="276"/>
    <w:p w14:paraId="51B308DD" w14:textId="77777777" w:rsidR="00A977AC" w:rsidRPr="002566D3" w:rsidRDefault="00A977AC" w:rsidP="00A977AC">
      <w:pPr>
        <w:keepNext/>
        <w:widowControl w:val="0"/>
      </w:pPr>
      <w:r>
        <w:t>GASB 87</w:t>
      </w:r>
      <w:r w:rsidRPr="002566D3">
        <w:t xml:space="preserve"> requires the disclosure of total contingent </w:t>
      </w:r>
      <w:r>
        <w:t>lease</w:t>
      </w:r>
      <w:r w:rsidRPr="002566D3">
        <w:t xml:space="preserve"> payments for leases actually incurred for each period for which an income statement is presented.</w:t>
      </w:r>
    </w:p>
    <w:p w14:paraId="63083592" w14:textId="76807804" w:rsidR="00AD33F9" w:rsidRPr="00BB6B2D" w:rsidRDefault="00AD33F9" w:rsidP="00AD33F9">
      <w:pPr>
        <w:pStyle w:val="Heading4"/>
      </w:pPr>
      <w:r w:rsidRPr="00BB6B2D">
        <w:t>As Lessee</w:t>
      </w:r>
      <w:r w:rsidRPr="00BB6B2D">
        <w:rPr>
          <w:rStyle w:val="FootnoteReference"/>
          <w:szCs w:val="24"/>
        </w:rPr>
        <w:footnoteReference w:id="34"/>
      </w:r>
    </w:p>
    <w:p w14:paraId="4DF688B2" w14:textId="68FCBFF0" w:rsidR="00AD33F9" w:rsidRDefault="00F04667" w:rsidP="004F2B02">
      <w:pPr>
        <w:rPr>
          <w:szCs w:val="24"/>
        </w:rPr>
      </w:pPr>
      <w:r w:rsidRPr="00BB6B2D">
        <w:rPr>
          <w:szCs w:val="24"/>
        </w:rPr>
        <w:t>Determine the lease term</w:t>
      </w:r>
      <w:r w:rsidR="00093F69">
        <w:rPr>
          <w:szCs w:val="24"/>
        </w:rPr>
        <w:t xml:space="preserve">-the lease term always includes the period of time where the lessee or the lessor can each terminate the lease without the other </w:t>
      </w:r>
      <w:proofErr w:type="gramStart"/>
      <w:r w:rsidR="00093F69">
        <w:rPr>
          <w:szCs w:val="24"/>
        </w:rPr>
        <w:t>parties</w:t>
      </w:r>
      <w:proofErr w:type="gramEnd"/>
      <w:r w:rsidR="00093F69">
        <w:rPr>
          <w:szCs w:val="24"/>
        </w:rPr>
        <w:t xml:space="preserve"> approval, or where both must agree to an extension, is considered a cancelable period and is not included in the lease term.</w:t>
      </w:r>
    </w:p>
    <w:p w14:paraId="05E6F8B2" w14:textId="2291897F" w:rsidR="0012040B" w:rsidRDefault="00AD33F9" w:rsidP="003B02BA">
      <w:pPr>
        <w:pStyle w:val="Heading2"/>
      </w:pPr>
      <w:bookmarkStart w:id="277" w:name="_Toc166149272"/>
      <w:r w:rsidRPr="0099749D">
        <w:t>Section _.</w:t>
      </w:r>
      <w:r>
        <w:t>10</w:t>
      </w:r>
      <w:r w:rsidRPr="0099749D">
        <w:t xml:space="preserve"> Loans </w:t>
      </w:r>
      <w:r w:rsidR="00136DD4">
        <w:t xml:space="preserve">and Notes </w:t>
      </w:r>
      <w:r w:rsidRPr="0099749D">
        <w:t>Receivable</w:t>
      </w:r>
      <w:bookmarkEnd w:id="277"/>
    </w:p>
    <w:p w14:paraId="08DF8AF3" w14:textId="76245EEF" w:rsidR="00AD33F9" w:rsidRPr="0099749D" w:rsidRDefault="00AD33F9" w:rsidP="00AD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40"/>
        <w:rPr>
          <w:szCs w:val="24"/>
        </w:rPr>
      </w:pPr>
      <w:r w:rsidRPr="0099749D">
        <w:rPr>
          <w:szCs w:val="24"/>
        </w:rPr>
        <w:t xml:space="preserve">Generally Accepted Accounting Principles (GAAP) relating to Loans </w:t>
      </w:r>
      <w:r w:rsidR="00136DD4">
        <w:rPr>
          <w:szCs w:val="24"/>
        </w:rPr>
        <w:t xml:space="preserve">and Notes </w:t>
      </w:r>
      <w:r w:rsidRPr="0099749D">
        <w:rPr>
          <w:szCs w:val="24"/>
        </w:rPr>
        <w:t>Receivable appear in:</w:t>
      </w:r>
    </w:p>
    <w:p w14:paraId="02E24E4B" w14:textId="77777777" w:rsidR="00AD33F9" w:rsidRPr="0099749D" w:rsidRDefault="00AD33F9" w:rsidP="00AD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40"/>
        <w:ind w:left="720" w:hanging="360"/>
        <w:rPr>
          <w:szCs w:val="24"/>
        </w:rPr>
      </w:pPr>
      <w:r w:rsidRPr="0099749D">
        <w:rPr>
          <w:szCs w:val="24"/>
        </w:rPr>
        <w:t>o</w:t>
      </w:r>
      <w:r w:rsidRPr="0099749D">
        <w:rPr>
          <w:szCs w:val="24"/>
        </w:rPr>
        <w:tab/>
      </w:r>
      <w:r w:rsidRPr="0099749D">
        <w:rPr>
          <w:i/>
          <w:iCs/>
          <w:szCs w:val="24"/>
        </w:rPr>
        <w:t>Codification of Governmental Accounting and Financial Reporting Standards</w:t>
      </w:r>
      <w:r w:rsidRPr="0099749D">
        <w:rPr>
          <w:szCs w:val="24"/>
        </w:rPr>
        <w:t>, Sections 1600.112 and 1800.139.</w:t>
      </w:r>
    </w:p>
    <w:p w14:paraId="09E55734" w14:textId="77777777" w:rsidR="00AD33F9" w:rsidRPr="0099749D" w:rsidRDefault="00AD33F9" w:rsidP="00AD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40"/>
        <w:ind w:left="720" w:hanging="360"/>
        <w:rPr>
          <w:szCs w:val="24"/>
        </w:rPr>
      </w:pPr>
      <w:r w:rsidRPr="0099749D">
        <w:rPr>
          <w:szCs w:val="24"/>
        </w:rPr>
        <w:t>o</w:t>
      </w:r>
      <w:r w:rsidRPr="0099749D">
        <w:rPr>
          <w:szCs w:val="24"/>
        </w:rPr>
        <w:tab/>
        <w:t xml:space="preserve">GASB Statement No 54, </w:t>
      </w:r>
      <w:r w:rsidRPr="0099749D">
        <w:rPr>
          <w:i/>
          <w:szCs w:val="24"/>
        </w:rPr>
        <w:t>Fund Balance Reporting and Governmental Fund Type Definitions</w:t>
      </w:r>
      <w:r w:rsidRPr="0099749D">
        <w:rPr>
          <w:szCs w:val="24"/>
        </w:rPr>
        <w:t xml:space="preserve"> </w:t>
      </w:r>
    </w:p>
    <w:p w14:paraId="3E4F20B6" w14:textId="77777777" w:rsidR="00AD33F9" w:rsidRPr="0099749D" w:rsidRDefault="00AD33F9" w:rsidP="00AD33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40"/>
        <w:rPr>
          <w:szCs w:val="24"/>
        </w:rPr>
      </w:pPr>
      <w:r w:rsidRPr="0099749D">
        <w:rPr>
          <w:szCs w:val="24"/>
        </w:rPr>
        <w:t>The guidance provided by GAAP requires the State to report:</w:t>
      </w:r>
    </w:p>
    <w:p w14:paraId="7CA6B025" w14:textId="3102B233" w:rsidR="00AD33F9" w:rsidRPr="0099749D" w:rsidRDefault="00AD33F9" w:rsidP="00AD33F9">
      <w:pPr>
        <w:pStyle w:val="Bullet10"/>
        <w:keepNext/>
        <w:spacing w:before="40" w:after="40"/>
        <w:rPr>
          <w:szCs w:val="24"/>
        </w:rPr>
      </w:pPr>
      <w:r w:rsidRPr="0099749D">
        <w:rPr>
          <w:szCs w:val="24"/>
        </w:rPr>
        <w:t>o</w:t>
      </w:r>
      <w:r w:rsidRPr="0099749D">
        <w:rPr>
          <w:szCs w:val="24"/>
        </w:rPr>
        <w:tab/>
        <w:t>Loan</w:t>
      </w:r>
      <w:r w:rsidR="00136DD4">
        <w:rPr>
          <w:szCs w:val="24"/>
        </w:rPr>
        <w:t>s</w:t>
      </w:r>
      <w:r w:rsidRPr="0099749D">
        <w:rPr>
          <w:szCs w:val="24"/>
        </w:rPr>
        <w:t xml:space="preserve"> </w:t>
      </w:r>
      <w:r w:rsidR="00136DD4">
        <w:rPr>
          <w:szCs w:val="24"/>
        </w:rPr>
        <w:t xml:space="preserve">and Notes </w:t>
      </w:r>
      <w:r w:rsidRPr="0099749D">
        <w:rPr>
          <w:szCs w:val="24"/>
        </w:rPr>
        <w:t xml:space="preserve">Receivables outstanding </w:t>
      </w:r>
      <w:proofErr w:type="gramStart"/>
      <w:r w:rsidRPr="0099749D">
        <w:rPr>
          <w:szCs w:val="24"/>
        </w:rPr>
        <w:t>at</w:t>
      </w:r>
      <w:proofErr w:type="gramEnd"/>
      <w:r w:rsidRPr="0099749D">
        <w:rPr>
          <w:szCs w:val="24"/>
        </w:rPr>
        <w:t xml:space="preserve"> June 30 in each fund.</w:t>
      </w:r>
    </w:p>
    <w:p w14:paraId="21C066F7" w14:textId="07CAE02E" w:rsidR="00AD33F9" w:rsidRPr="0099749D" w:rsidRDefault="00AD33F9" w:rsidP="00AD33F9">
      <w:pPr>
        <w:pStyle w:val="Bullet10"/>
        <w:spacing w:before="40" w:after="40"/>
        <w:rPr>
          <w:szCs w:val="24"/>
        </w:rPr>
      </w:pPr>
      <w:r w:rsidRPr="0099749D">
        <w:rPr>
          <w:szCs w:val="24"/>
        </w:rPr>
        <w:t>o</w:t>
      </w:r>
      <w:r w:rsidRPr="0099749D">
        <w:rPr>
          <w:szCs w:val="24"/>
        </w:rPr>
        <w:tab/>
        <w:t>An Allowance for Uncollectible Loan</w:t>
      </w:r>
      <w:r w:rsidR="00136DD4">
        <w:rPr>
          <w:szCs w:val="24"/>
        </w:rPr>
        <w:t xml:space="preserve"> and Note</w:t>
      </w:r>
      <w:r w:rsidRPr="0099749D">
        <w:rPr>
          <w:szCs w:val="24"/>
        </w:rPr>
        <w:t xml:space="preserve"> Receivables in each fund where applicable.  (No allowance is a rare circumstance and extensive documentation of the factors considered in the </w:t>
      </w:r>
      <w:r w:rsidRPr="0099749D">
        <w:rPr>
          <w:szCs w:val="24"/>
        </w:rPr>
        <w:lastRenderedPageBreak/>
        <w:t>evaluation and estimation of collectability would be required to be retained if no allowance is reported).</w:t>
      </w:r>
    </w:p>
    <w:p w14:paraId="6D3ADE61" w14:textId="6F0AB7AD" w:rsidR="00AD33F9" w:rsidRPr="0099749D" w:rsidRDefault="00AD33F9" w:rsidP="00AD33F9">
      <w:pPr>
        <w:pStyle w:val="Bullet10"/>
        <w:spacing w:before="40" w:after="40"/>
        <w:rPr>
          <w:szCs w:val="24"/>
        </w:rPr>
      </w:pPr>
      <w:r w:rsidRPr="0099749D">
        <w:rPr>
          <w:szCs w:val="24"/>
        </w:rPr>
        <w:t>o</w:t>
      </w:r>
      <w:r w:rsidRPr="0099749D">
        <w:rPr>
          <w:szCs w:val="24"/>
        </w:rPr>
        <w:tab/>
        <w:t>A Current and Non-Current portion of the Loan</w:t>
      </w:r>
      <w:r w:rsidR="00136DD4">
        <w:rPr>
          <w:szCs w:val="24"/>
        </w:rPr>
        <w:t xml:space="preserve"> and Note</w:t>
      </w:r>
      <w:r w:rsidRPr="0099749D">
        <w:rPr>
          <w:szCs w:val="24"/>
        </w:rPr>
        <w:t xml:space="preserve"> Receivables outstanding </w:t>
      </w:r>
      <w:proofErr w:type="gramStart"/>
      <w:r w:rsidRPr="0099749D">
        <w:rPr>
          <w:szCs w:val="24"/>
        </w:rPr>
        <w:t>at</w:t>
      </w:r>
      <w:proofErr w:type="gramEnd"/>
      <w:r w:rsidRPr="0099749D">
        <w:rPr>
          <w:szCs w:val="24"/>
        </w:rPr>
        <w:t xml:space="preserve"> June 30 in each fund.</w:t>
      </w:r>
    </w:p>
    <w:p w14:paraId="0672287A" w14:textId="77777777" w:rsidR="00AD33F9" w:rsidRPr="0099749D" w:rsidRDefault="00AD33F9" w:rsidP="00AD33F9">
      <w:pPr>
        <w:pStyle w:val="Bullet10"/>
        <w:spacing w:before="40" w:after="40"/>
        <w:rPr>
          <w:szCs w:val="24"/>
        </w:rPr>
      </w:pPr>
      <w:r w:rsidRPr="0099749D">
        <w:rPr>
          <w:szCs w:val="24"/>
        </w:rPr>
        <w:t>o</w:t>
      </w:r>
      <w:r w:rsidRPr="0099749D">
        <w:rPr>
          <w:szCs w:val="24"/>
        </w:rPr>
        <w:tab/>
        <w:t>Interest Receivable for interest due on or before June 30 but not received as of June 30.</w:t>
      </w:r>
    </w:p>
    <w:p w14:paraId="64877FE6" w14:textId="2D0090A3" w:rsidR="00AD33F9" w:rsidRPr="0099749D" w:rsidRDefault="00AD33F9" w:rsidP="00AD33F9">
      <w:pPr>
        <w:pStyle w:val="Bullet10"/>
        <w:spacing w:before="40" w:after="40"/>
        <w:rPr>
          <w:szCs w:val="24"/>
        </w:rPr>
      </w:pPr>
      <w:r w:rsidRPr="0099749D">
        <w:rPr>
          <w:szCs w:val="24"/>
        </w:rPr>
        <w:t>o</w:t>
      </w:r>
      <w:r w:rsidRPr="0099749D">
        <w:rPr>
          <w:szCs w:val="24"/>
        </w:rPr>
        <w:tab/>
        <w:t xml:space="preserve">In </w:t>
      </w:r>
      <w:r w:rsidR="00876BD0">
        <w:rPr>
          <w:szCs w:val="24"/>
        </w:rPr>
        <w:t>the General Fund</w:t>
      </w:r>
      <w:r w:rsidRPr="0099749D">
        <w:rPr>
          <w:szCs w:val="24"/>
        </w:rPr>
        <w:t>, Nonspendable fund balance for the balances reported as Non-Current Loan</w:t>
      </w:r>
      <w:r w:rsidR="00136DD4">
        <w:rPr>
          <w:szCs w:val="24"/>
        </w:rPr>
        <w:t xml:space="preserve"> and Note</w:t>
      </w:r>
      <w:r w:rsidRPr="0099749D">
        <w:rPr>
          <w:szCs w:val="24"/>
        </w:rPr>
        <w:t xml:space="preserve"> Receivables.</w:t>
      </w:r>
    </w:p>
    <w:p w14:paraId="3D428182" w14:textId="6577FF6F" w:rsidR="00AD33F9" w:rsidRPr="0099749D" w:rsidRDefault="00AD33F9" w:rsidP="00AD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rPr>
      </w:pPr>
      <w:r w:rsidRPr="0099749D">
        <w:rPr>
          <w:szCs w:val="24"/>
        </w:rPr>
        <w:t>Agencies that have loan</w:t>
      </w:r>
      <w:r w:rsidR="00136DD4">
        <w:rPr>
          <w:szCs w:val="24"/>
        </w:rPr>
        <w:t xml:space="preserve"> and note</w:t>
      </w:r>
      <w:r w:rsidRPr="0099749D">
        <w:rPr>
          <w:szCs w:val="24"/>
        </w:rPr>
        <w:t xml:space="preserve"> receivables </w:t>
      </w:r>
      <w:proofErr w:type="gramStart"/>
      <w:r w:rsidRPr="0099749D">
        <w:rPr>
          <w:szCs w:val="24"/>
        </w:rPr>
        <w:t>at</w:t>
      </w:r>
      <w:proofErr w:type="gramEnd"/>
      <w:r w:rsidRPr="0099749D">
        <w:rPr>
          <w:szCs w:val="24"/>
        </w:rPr>
        <w:t xml:space="preserve"> June 30 or any transactions related to loan</w:t>
      </w:r>
      <w:r w:rsidR="00136DD4">
        <w:rPr>
          <w:szCs w:val="24"/>
        </w:rPr>
        <w:t xml:space="preserve"> and note</w:t>
      </w:r>
      <w:r w:rsidRPr="0099749D">
        <w:rPr>
          <w:szCs w:val="24"/>
        </w:rPr>
        <w:t xml:space="preserve"> receivables during the fiscal year ended June 30 must complete a Loan and Note Receivables Summary Form to provide the Comptroller General's Office with information to properly report the balances.  With the implementation of SCEIS</w:t>
      </w:r>
      <w:r w:rsidR="00BF38F6">
        <w:rPr>
          <w:szCs w:val="24"/>
        </w:rPr>
        <w:t>,</w:t>
      </w:r>
      <w:r w:rsidRPr="0099749D">
        <w:rPr>
          <w:szCs w:val="24"/>
        </w:rPr>
        <w:t xml:space="preserve"> agencies have the capability of reflecting the transactions within the book of accounting records.  SCEIS balances should be examined in conjunction with the completion of the forms. </w:t>
      </w:r>
    </w:p>
    <w:p w14:paraId="3B6F21BB" w14:textId="77777777" w:rsidR="00AD33F9" w:rsidRPr="0099749D" w:rsidRDefault="00AD33F9" w:rsidP="00AD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40"/>
        <w:rPr>
          <w:i/>
          <w:szCs w:val="24"/>
        </w:rPr>
      </w:pPr>
      <w:r w:rsidRPr="0099749D">
        <w:rPr>
          <w:i/>
          <w:szCs w:val="24"/>
        </w:rPr>
        <w:t>Loan or Note Receivables</w:t>
      </w:r>
    </w:p>
    <w:p w14:paraId="316DE40B" w14:textId="5C5698DA" w:rsidR="00AD33F9" w:rsidRPr="0099749D" w:rsidRDefault="00AD33F9" w:rsidP="00AD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40"/>
        <w:rPr>
          <w:szCs w:val="24"/>
        </w:rPr>
      </w:pPr>
      <w:r w:rsidRPr="0099749D">
        <w:rPr>
          <w:szCs w:val="24"/>
        </w:rPr>
        <w:t xml:space="preserve">Loan </w:t>
      </w:r>
      <w:r w:rsidR="00FF6D95">
        <w:rPr>
          <w:szCs w:val="24"/>
        </w:rPr>
        <w:t xml:space="preserve">or note </w:t>
      </w:r>
      <w:r w:rsidRPr="0099749D">
        <w:rPr>
          <w:szCs w:val="24"/>
        </w:rPr>
        <w:t xml:space="preserve">receivables </w:t>
      </w:r>
      <w:r w:rsidR="001537F0">
        <w:rPr>
          <w:szCs w:val="24"/>
        </w:rPr>
        <w:t xml:space="preserve">are the outstanding principal balances </w:t>
      </w:r>
      <w:proofErr w:type="gramStart"/>
      <w:r w:rsidR="001537F0">
        <w:rPr>
          <w:szCs w:val="24"/>
        </w:rPr>
        <w:t>at</w:t>
      </w:r>
      <w:proofErr w:type="gramEnd"/>
      <w:r w:rsidR="001537F0">
        <w:rPr>
          <w:szCs w:val="24"/>
        </w:rPr>
        <w:t xml:space="preserve"> June 30 on loan </w:t>
      </w:r>
      <w:r w:rsidR="00FF6D95">
        <w:rPr>
          <w:szCs w:val="24"/>
        </w:rPr>
        <w:t xml:space="preserve">or note </w:t>
      </w:r>
      <w:r w:rsidR="001537F0">
        <w:rPr>
          <w:szCs w:val="24"/>
        </w:rPr>
        <w:t>agreements made to non-State parties.</w:t>
      </w:r>
    </w:p>
    <w:p w14:paraId="56B61E1E" w14:textId="1EF30135" w:rsidR="001537F0" w:rsidRPr="0099749D" w:rsidRDefault="00FF6D95" w:rsidP="00FF6D95">
      <w:pPr>
        <w:pStyle w:val="Bullet10"/>
        <w:spacing w:before="40" w:after="40"/>
        <w:ind w:left="0" w:firstLine="0"/>
        <w:rPr>
          <w:szCs w:val="24"/>
        </w:rPr>
      </w:pPr>
      <w:r>
        <w:rPr>
          <w:szCs w:val="24"/>
        </w:rPr>
        <w:t>While l</w:t>
      </w:r>
      <w:r w:rsidR="001537F0">
        <w:rPr>
          <w:szCs w:val="24"/>
        </w:rPr>
        <w:t>oan agreements tend to be more detailed, complex, and formal than note agreements</w:t>
      </w:r>
      <w:r>
        <w:rPr>
          <w:szCs w:val="24"/>
        </w:rPr>
        <w:t>,</w:t>
      </w:r>
      <w:r w:rsidR="001537F0">
        <w:rPr>
          <w:szCs w:val="24"/>
        </w:rPr>
        <w:t xml:space="preserve"> loan agreements and note agreements </w:t>
      </w:r>
      <w:r>
        <w:rPr>
          <w:szCs w:val="24"/>
        </w:rPr>
        <w:t>are considered synonymous for financial reporting purposes.</w:t>
      </w:r>
    </w:p>
    <w:p w14:paraId="3D8AD124" w14:textId="77777777" w:rsidR="00AD33F9" w:rsidRPr="0099749D" w:rsidRDefault="00AD33F9" w:rsidP="00AD33F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40"/>
        <w:rPr>
          <w:i/>
          <w:szCs w:val="24"/>
        </w:rPr>
      </w:pPr>
      <w:r w:rsidRPr="0099749D">
        <w:rPr>
          <w:i/>
          <w:szCs w:val="24"/>
        </w:rPr>
        <w:t>Allowance for Uncollectible Accounts</w:t>
      </w:r>
    </w:p>
    <w:p w14:paraId="11861A3D" w14:textId="77777777" w:rsidR="00AD33F9" w:rsidRPr="0099749D" w:rsidRDefault="00AD33F9" w:rsidP="00AD33F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60"/>
        <w:rPr>
          <w:szCs w:val="24"/>
        </w:rPr>
      </w:pPr>
      <w:r w:rsidRPr="0099749D">
        <w:rPr>
          <w:szCs w:val="24"/>
        </w:rPr>
        <w:t>GAAP require the State report an Allowance for Uncollectible Loan and Note Receivables.  The financial statements report gross balances less the allowance amount.  An allowance is estimated using a systematic evaluation of the balances and activity of loans and notes:</w:t>
      </w:r>
    </w:p>
    <w:p w14:paraId="60A94690" w14:textId="77777777" w:rsidR="00AD33F9" w:rsidRPr="0099749D" w:rsidRDefault="00AD33F9" w:rsidP="00AD33F9">
      <w:pPr>
        <w:pStyle w:val="Bullet10"/>
        <w:spacing w:before="60" w:after="60"/>
        <w:rPr>
          <w:szCs w:val="24"/>
        </w:rPr>
      </w:pPr>
      <w:r w:rsidRPr="0099749D">
        <w:rPr>
          <w:szCs w:val="24"/>
        </w:rPr>
        <w:t>o</w:t>
      </w:r>
      <w:r w:rsidRPr="0099749D">
        <w:rPr>
          <w:szCs w:val="24"/>
        </w:rPr>
        <w:tab/>
        <w:t>Identify similarities within loans to group the loans in portfolios for evaluation.  Similarities may be repayment period, payment frequency, purpose, or other of the terms of the loan agreement.</w:t>
      </w:r>
    </w:p>
    <w:p w14:paraId="5904E930" w14:textId="77777777" w:rsidR="00AD33F9" w:rsidRPr="0099749D" w:rsidRDefault="00AD33F9" w:rsidP="00AD33F9">
      <w:pPr>
        <w:pStyle w:val="Bullet10"/>
        <w:spacing w:before="60" w:after="60"/>
        <w:rPr>
          <w:szCs w:val="24"/>
        </w:rPr>
      </w:pPr>
      <w:r w:rsidRPr="0099749D">
        <w:rPr>
          <w:szCs w:val="24"/>
        </w:rPr>
        <w:t>o</w:t>
      </w:r>
      <w:r w:rsidRPr="0099749D">
        <w:rPr>
          <w:szCs w:val="24"/>
        </w:rPr>
        <w:tab/>
        <w:t>Gather historical data on collections within each portfolio.</w:t>
      </w:r>
    </w:p>
    <w:p w14:paraId="2C72BF57" w14:textId="77777777" w:rsidR="00AD33F9" w:rsidRPr="0099749D" w:rsidRDefault="00AD33F9" w:rsidP="00AD33F9">
      <w:pPr>
        <w:pStyle w:val="Bullet10"/>
        <w:spacing w:before="60" w:after="60"/>
        <w:rPr>
          <w:szCs w:val="24"/>
        </w:rPr>
      </w:pPr>
      <w:r w:rsidRPr="0099749D">
        <w:rPr>
          <w:szCs w:val="24"/>
        </w:rPr>
        <w:t>o</w:t>
      </w:r>
      <w:r w:rsidRPr="0099749D">
        <w:rPr>
          <w:szCs w:val="24"/>
        </w:rPr>
        <w:tab/>
        <w:t>Using the historical data calculate ratios that can be projected to future experience.</w:t>
      </w:r>
    </w:p>
    <w:p w14:paraId="49232B78" w14:textId="77777777" w:rsidR="00AD33F9" w:rsidRPr="0099749D" w:rsidRDefault="00AD33F9" w:rsidP="00AD33F9">
      <w:pPr>
        <w:pStyle w:val="Bullet10"/>
        <w:spacing w:before="60"/>
        <w:rPr>
          <w:szCs w:val="24"/>
        </w:rPr>
      </w:pPr>
      <w:r w:rsidRPr="0099749D">
        <w:rPr>
          <w:szCs w:val="24"/>
        </w:rPr>
        <w:t>o</w:t>
      </w:r>
      <w:r w:rsidRPr="0099749D">
        <w:rPr>
          <w:szCs w:val="24"/>
        </w:rPr>
        <w:tab/>
        <w:t xml:space="preserve">Estimate the future </w:t>
      </w:r>
      <w:proofErr w:type="spellStart"/>
      <w:r>
        <w:rPr>
          <w:szCs w:val="24"/>
        </w:rPr>
        <w:t>uncollecta</w:t>
      </w:r>
      <w:r w:rsidRPr="0099749D">
        <w:rPr>
          <w:szCs w:val="24"/>
        </w:rPr>
        <w:t>bility</w:t>
      </w:r>
      <w:proofErr w:type="spellEnd"/>
      <w:r w:rsidRPr="0099749D">
        <w:rPr>
          <w:szCs w:val="24"/>
        </w:rPr>
        <w:t xml:space="preserve"> of the portfolio using the historical ratios based on the principal balance outstanding </w:t>
      </w:r>
      <w:proofErr w:type="gramStart"/>
      <w:r w:rsidRPr="0099749D">
        <w:rPr>
          <w:szCs w:val="24"/>
        </w:rPr>
        <w:t>at</w:t>
      </w:r>
      <w:proofErr w:type="gramEnd"/>
      <w:r w:rsidRPr="0099749D">
        <w:rPr>
          <w:szCs w:val="24"/>
        </w:rPr>
        <w:t xml:space="preserve"> June 30.</w:t>
      </w:r>
    </w:p>
    <w:p w14:paraId="654783A4" w14:textId="4C2F1754" w:rsidR="00AD33F9" w:rsidRPr="0099749D" w:rsidRDefault="00AD33F9" w:rsidP="00AD33F9">
      <w:pPr>
        <w:pStyle w:val="Bullet10"/>
        <w:spacing w:before="60"/>
        <w:rPr>
          <w:szCs w:val="24"/>
        </w:rPr>
      </w:pPr>
      <w:r w:rsidRPr="0099749D">
        <w:rPr>
          <w:szCs w:val="24"/>
        </w:rPr>
        <w:t>o</w:t>
      </w:r>
      <w:r w:rsidRPr="0099749D">
        <w:rPr>
          <w:szCs w:val="24"/>
        </w:rPr>
        <w:tab/>
        <w:t xml:space="preserve">Evaluate the completeness of the allowance by review of the parties from whom the loans </w:t>
      </w:r>
      <w:r w:rsidR="00136DD4">
        <w:rPr>
          <w:szCs w:val="24"/>
        </w:rPr>
        <w:t xml:space="preserve">or notes </w:t>
      </w:r>
      <w:r w:rsidRPr="0099749D">
        <w:rPr>
          <w:szCs w:val="24"/>
        </w:rPr>
        <w:t xml:space="preserve">are </w:t>
      </w:r>
      <w:proofErr w:type="gramStart"/>
      <w:r w:rsidRPr="0099749D">
        <w:rPr>
          <w:szCs w:val="24"/>
        </w:rPr>
        <w:t>owed</w:t>
      </w:r>
      <w:proofErr w:type="gramEnd"/>
      <w:r w:rsidRPr="0099749D">
        <w:rPr>
          <w:szCs w:val="24"/>
        </w:rPr>
        <w:t xml:space="preserve"> and specific information related to those parties.  If additional allowance is necessary</w:t>
      </w:r>
      <w:r w:rsidR="00956CBE">
        <w:rPr>
          <w:szCs w:val="24"/>
        </w:rPr>
        <w:t>,</w:t>
      </w:r>
      <w:r w:rsidRPr="0099749D">
        <w:rPr>
          <w:szCs w:val="24"/>
        </w:rPr>
        <w:t xml:space="preserve"> make the appropriate modification to the calculation.  </w:t>
      </w:r>
    </w:p>
    <w:p w14:paraId="7E6DCE39" w14:textId="0CE12A4B" w:rsidR="0012040B" w:rsidRDefault="00B95A1D" w:rsidP="003B02BA">
      <w:pPr>
        <w:pStyle w:val="Heading2"/>
      </w:pPr>
      <w:bookmarkStart w:id="278" w:name="_Toc166149273"/>
      <w:r>
        <w:t>Section _.11</w:t>
      </w:r>
      <w:r w:rsidR="002D13C4">
        <w:t xml:space="preserve"> SBITA</w:t>
      </w:r>
      <w:bookmarkEnd w:id="278"/>
    </w:p>
    <w:p w14:paraId="73C84C98" w14:textId="77777777" w:rsidR="002D13C4" w:rsidRPr="00BB6B2D" w:rsidRDefault="002D13C4" w:rsidP="002D13C4">
      <w:pPr>
        <w:spacing w:before="80" w:after="80" w:line="240" w:lineRule="exact"/>
        <w:rPr>
          <w:szCs w:val="24"/>
        </w:rPr>
      </w:pPr>
      <w:r w:rsidRPr="00BB6B2D">
        <w:rPr>
          <w:szCs w:val="24"/>
        </w:rPr>
        <w:t xml:space="preserve">Guidance from GAAP regarding leases appears in: </w:t>
      </w:r>
    </w:p>
    <w:p w14:paraId="662F5C60" w14:textId="099D3426" w:rsidR="002D13C4" w:rsidRPr="00BB6B2D" w:rsidRDefault="002D13C4" w:rsidP="002D13C4">
      <w:pPr>
        <w:pStyle w:val="Bullet10"/>
        <w:spacing w:before="80" w:after="80" w:line="240" w:lineRule="exact"/>
        <w:rPr>
          <w:szCs w:val="24"/>
        </w:rPr>
      </w:pPr>
      <w:r w:rsidRPr="00BB6B2D">
        <w:rPr>
          <w:szCs w:val="24"/>
        </w:rPr>
        <w:t>o</w:t>
      </w:r>
      <w:r w:rsidRPr="00BB6B2D">
        <w:rPr>
          <w:szCs w:val="24"/>
        </w:rPr>
        <w:tab/>
        <w:t>Governmental Accounting Standards Board (GASB) Statement</w:t>
      </w:r>
      <w:r w:rsidR="00434674">
        <w:rPr>
          <w:szCs w:val="24"/>
        </w:rPr>
        <w:t xml:space="preserve"> No.</w:t>
      </w:r>
      <w:r w:rsidRPr="00BB6B2D">
        <w:rPr>
          <w:szCs w:val="24"/>
        </w:rPr>
        <w:t xml:space="preserve"> </w:t>
      </w:r>
      <w:r>
        <w:rPr>
          <w:szCs w:val="24"/>
        </w:rPr>
        <w:t>96</w:t>
      </w:r>
      <w:r w:rsidRPr="00BB6B2D">
        <w:rPr>
          <w:szCs w:val="24"/>
        </w:rPr>
        <w:t>, "</w:t>
      </w:r>
      <w:r>
        <w:rPr>
          <w:szCs w:val="24"/>
        </w:rPr>
        <w:t>Subscription-Based Information Technology Arrangements</w:t>
      </w:r>
      <w:r w:rsidRPr="00BB6B2D">
        <w:rPr>
          <w:szCs w:val="24"/>
        </w:rPr>
        <w:t>"</w:t>
      </w:r>
    </w:p>
    <w:p w14:paraId="41F7C423" w14:textId="471CD028" w:rsidR="002D13C4" w:rsidRDefault="002D13C4" w:rsidP="002D13C4">
      <w:r>
        <w:rPr>
          <w:szCs w:val="24"/>
        </w:rPr>
        <w:t>SBITA</w:t>
      </w:r>
      <w:r w:rsidRPr="00BB6B2D">
        <w:rPr>
          <w:szCs w:val="24"/>
        </w:rPr>
        <w:t xml:space="preserve"> accounting is based on the principle that </w:t>
      </w:r>
      <w:r>
        <w:rPr>
          <w:szCs w:val="24"/>
        </w:rPr>
        <w:t>software subscription contracts</w:t>
      </w:r>
      <w:r w:rsidRPr="00BB6B2D">
        <w:rPr>
          <w:szCs w:val="24"/>
        </w:rPr>
        <w:t xml:space="preserve"> are financings of the right to use an underlying financial asset.  </w:t>
      </w:r>
      <w:r>
        <w:t xml:space="preserve">For purposes of applying this Statement, a SBITA is defined as a contract that conveys control of the right to use another entity’s IT software (the underlying asset) as </w:t>
      </w:r>
      <w:r>
        <w:lastRenderedPageBreak/>
        <w:t xml:space="preserve">specified in the contract for </w:t>
      </w:r>
      <w:proofErr w:type="gramStart"/>
      <w:r>
        <w:t>a period of time</w:t>
      </w:r>
      <w:proofErr w:type="gramEnd"/>
      <w:r>
        <w:t xml:space="preserve"> in an exchange or exchange-like transaction.</w:t>
      </w:r>
      <w:r w:rsidRPr="0057638B">
        <w:t xml:space="preserve"> </w:t>
      </w:r>
      <w:r>
        <w:t>To determine whether a contract conveys control of the right to use the underlying asset, a government should assess whether it has both of the following:</w:t>
      </w:r>
    </w:p>
    <w:p w14:paraId="592C56D1" w14:textId="77777777" w:rsidR="002D13C4" w:rsidRPr="00851CA5" w:rsidRDefault="002D13C4" w:rsidP="00C45492">
      <w:pPr>
        <w:pStyle w:val="ListParagraph"/>
        <w:numPr>
          <w:ilvl w:val="0"/>
          <w:numId w:val="53"/>
        </w:numPr>
        <w:rPr>
          <w:szCs w:val="24"/>
        </w:rPr>
      </w:pPr>
      <w:r>
        <w:t>The right to obtain the present service capacity from use of the underlying asset as specified in the contract</w:t>
      </w:r>
    </w:p>
    <w:p w14:paraId="150B838B" w14:textId="77777777" w:rsidR="002D13C4" w:rsidRPr="0057638B" w:rsidRDefault="002D13C4" w:rsidP="00C45492">
      <w:pPr>
        <w:pStyle w:val="ListParagraph"/>
        <w:numPr>
          <w:ilvl w:val="0"/>
          <w:numId w:val="53"/>
        </w:numPr>
        <w:rPr>
          <w:szCs w:val="24"/>
        </w:rPr>
      </w:pPr>
      <w:r>
        <w:t>The right to determine the nature and manner of use of the underlying asset as specified in the contract.</w:t>
      </w:r>
    </w:p>
    <w:p w14:paraId="75C22962" w14:textId="4CB12CE5" w:rsidR="002D13C4" w:rsidRDefault="002D13C4" w:rsidP="002D13C4">
      <w:pPr>
        <w:rPr>
          <w:szCs w:val="24"/>
        </w:rPr>
      </w:pPr>
      <w:r w:rsidRPr="00BB6B2D">
        <w:rPr>
          <w:szCs w:val="24"/>
        </w:rPr>
        <w:t xml:space="preserve">Accounting and Finance personnel within the agency must </w:t>
      </w:r>
      <w:r>
        <w:rPr>
          <w:szCs w:val="24"/>
        </w:rPr>
        <w:t xml:space="preserve">then </w:t>
      </w:r>
      <w:r w:rsidRPr="00BB6B2D">
        <w:rPr>
          <w:szCs w:val="24"/>
        </w:rPr>
        <w:t xml:space="preserve">examine and analyze the terms of each </w:t>
      </w:r>
      <w:r>
        <w:rPr>
          <w:szCs w:val="24"/>
        </w:rPr>
        <w:t>software subscription contract</w:t>
      </w:r>
      <w:r w:rsidRPr="00BB6B2D">
        <w:rPr>
          <w:szCs w:val="24"/>
        </w:rPr>
        <w:t xml:space="preserve"> to determine whether the </w:t>
      </w:r>
      <w:r>
        <w:rPr>
          <w:szCs w:val="24"/>
        </w:rPr>
        <w:t>subscription</w:t>
      </w:r>
      <w:r w:rsidRPr="00BB6B2D">
        <w:rPr>
          <w:szCs w:val="24"/>
        </w:rPr>
        <w:t xml:space="preserve"> is short term</w:t>
      </w:r>
      <w:r>
        <w:rPr>
          <w:szCs w:val="24"/>
        </w:rPr>
        <w:t>, excluded</w:t>
      </w:r>
      <w:r w:rsidRPr="00BB6B2D">
        <w:rPr>
          <w:szCs w:val="24"/>
        </w:rPr>
        <w:t xml:space="preserve"> or </w:t>
      </w:r>
      <w:r>
        <w:rPr>
          <w:szCs w:val="24"/>
        </w:rPr>
        <w:t xml:space="preserve">subject to GASB </w:t>
      </w:r>
      <w:r w:rsidR="00F647E0">
        <w:rPr>
          <w:szCs w:val="24"/>
        </w:rPr>
        <w:t xml:space="preserve"> </w:t>
      </w:r>
      <w:r>
        <w:rPr>
          <w:szCs w:val="24"/>
        </w:rPr>
        <w:t>96 requirements.</w:t>
      </w:r>
      <w:r w:rsidRPr="00BB6B2D">
        <w:rPr>
          <w:szCs w:val="24"/>
        </w:rPr>
        <w:t xml:space="preserve"> </w:t>
      </w:r>
    </w:p>
    <w:p w14:paraId="34BA9627" w14:textId="08E33B8A" w:rsidR="002D13C4" w:rsidRPr="00BB6B2D" w:rsidRDefault="002D13C4" w:rsidP="002D13C4">
      <w:pPr>
        <w:pStyle w:val="Heading3"/>
      </w:pPr>
      <w:bookmarkStart w:id="279" w:name="_Toc166149274"/>
      <w:r w:rsidRPr="00BB6B2D">
        <w:t xml:space="preserve">Accounting for </w:t>
      </w:r>
      <w:r>
        <w:t>SBITA</w:t>
      </w:r>
      <w:r w:rsidRPr="00BB6B2D">
        <w:t>s</w:t>
      </w:r>
      <w:bookmarkEnd w:id="279"/>
    </w:p>
    <w:p w14:paraId="751F3240" w14:textId="22627EA2" w:rsidR="002D13C4" w:rsidRDefault="002D13C4" w:rsidP="002D13C4">
      <w:pPr>
        <w:rPr>
          <w:szCs w:val="24"/>
        </w:rPr>
      </w:pPr>
      <w:r w:rsidRPr="00BB6B2D">
        <w:rPr>
          <w:szCs w:val="24"/>
        </w:rPr>
        <w:t xml:space="preserve">If </w:t>
      </w:r>
      <w:r>
        <w:rPr>
          <w:szCs w:val="24"/>
        </w:rPr>
        <w:t>a software subscription</w:t>
      </w:r>
      <w:r w:rsidRPr="00BB6B2D">
        <w:rPr>
          <w:szCs w:val="24"/>
        </w:rPr>
        <w:t xml:space="preserve"> is less than 12 months and/or the underlying the contract transfers ownership at the end of the purchase (financed purchase) then </w:t>
      </w:r>
      <w:r>
        <w:rPr>
          <w:szCs w:val="24"/>
        </w:rPr>
        <w:t>SBITA</w:t>
      </w:r>
      <w:r w:rsidRPr="00BB6B2D">
        <w:rPr>
          <w:szCs w:val="24"/>
        </w:rPr>
        <w:t xml:space="preserve"> accounting does not apply.</w:t>
      </w:r>
      <w:r>
        <w:rPr>
          <w:szCs w:val="24"/>
        </w:rPr>
        <w:t xml:space="preserve"> Software Subscription Contracts with present value of $100,000 or less are excluded from GASB </w:t>
      </w:r>
      <w:r w:rsidR="00F647E0">
        <w:rPr>
          <w:szCs w:val="24"/>
        </w:rPr>
        <w:t xml:space="preserve"> </w:t>
      </w:r>
      <w:r>
        <w:rPr>
          <w:szCs w:val="24"/>
        </w:rPr>
        <w:t xml:space="preserve">96 accounting requirements. </w:t>
      </w:r>
    </w:p>
    <w:p w14:paraId="4672976A" w14:textId="2E5F6FFC" w:rsidR="002D13C4" w:rsidRDefault="002D13C4" w:rsidP="002D13C4">
      <w:r>
        <w:t xml:space="preserve">Agencies should recognize short-term software subscription payments as outflows of resources (for example, expense) based on the payment provisions of the subscription contract. The agency should recognize an asset if payments are made in advance or a liability for rent due if payments are to be made </w:t>
      </w:r>
      <w:proofErr w:type="gramStart"/>
      <w:r>
        <w:t>subsequent to</w:t>
      </w:r>
      <w:proofErr w:type="gramEnd"/>
      <w:r>
        <w:t xml:space="preserve"> the reporting period. The agency should not recognize an outflow of resources during any rent holiday period (for example, one or more months free).</w:t>
      </w:r>
    </w:p>
    <w:p w14:paraId="35279AF2" w14:textId="3337927E" w:rsidR="002D13C4" w:rsidRDefault="002D13C4" w:rsidP="002D13C4">
      <w:pPr>
        <w:rPr>
          <w:u w:val="single"/>
        </w:rPr>
      </w:pPr>
      <w:r w:rsidRPr="00851CA5">
        <w:rPr>
          <w:u w:val="single"/>
        </w:rPr>
        <w:t xml:space="preserve">Determining the </w:t>
      </w:r>
      <w:r>
        <w:rPr>
          <w:u w:val="single"/>
        </w:rPr>
        <w:t>Subscription</w:t>
      </w:r>
      <w:r w:rsidRPr="00851CA5">
        <w:rPr>
          <w:u w:val="single"/>
        </w:rPr>
        <w:t xml:space="preserve"> Term</w:t>
      </w:r>
    </w:p>
    <w:p w14:paraId="4B6FFCCC" w14:textId="30ECC0C1" w:rsidR="002D13C4" w:rsidRDefault="002D13C4" w:rsidP="002D13C4">
      <w:r w:rsidRPr="00851CA5">
        <w:t xml:space="preserve">The </w:t>
      </w:r>
      <w:r>
        <w:t>subscription</w:t>
      </w:r>
      <w:r w:rsidRPr="00851CA5">
        <w:t xml:space="preserve"> term is the period during which a</w:t>
      </w:r>
      <w:r>
        <w:t xml:space="preserve">n agency </w:t>
      </w:r>
      <w:r w:rsidRPr="00851CA5">
        <w:t>has a noncancelable</w:t>
      </w:r>
      <w:r>
        <w:t xml:space="preserve"> </w:t>
      </w:r>
      <w:r w:rsidRPr="00851CA5">
        <w:t>right to use an underlying asset (referred to as the noncancelable period)</w:t>
      </w:r>
      <w:r>
        <w:t xml:space="preserve">. Periods for which both the lessee and the lessor have an option to terminate the contract without permission from the other party (or if both parties </w:t>
      </w:r>
      <w:proofErr w:type="gramStart"/>
      <w:r>
        <w:t>have to</w:t>
      </w:r>
      <w:proofErr w:type="gramEnd"/>
      <w:r>
        <w:t xml:space="preserve"> agree to extend) are cancelable periods and are excluded from the </w:t>
      </w:r>
      <w:r w:rsidR="006513E5">
        <w:t>subscription</w:t>
      </w:r>
      <w:r>
        <w:t xml:space="preserve"> term.</w:t>
      </w:r>
    </w:p>
    <w:p w14:paraId="2241F182" w14:textId="2E5A1B24" w:rsidR="002D13C4" w:rsidRDefault="002D13C4" w:rsidP="002D13C4">
      <w:r>
        <w:t xml:space="preserve">NOTE: A fiscal funding or cancellation clause allows governmental lessees to cancel a lease, typically on an annual basis, if the government does not appropriate funds for the </w:t>
      </w:r>
      <w:r w:rsidR="006513E5">
        <w:t>subscription</w:t>
      </w:r>
      <w:r>
        <w:t xml:space="preserve"> payments. This type of clause should affect the </w:t>
      </w:r>
      <w:r w:rsidR="006513E5">
        <w:t>subscription</w:t>
      </w:r>
      <w:r>
        <w:t xml:space="preserve"> term only if it is reasonably certain that the clause will be exercised.</w:t>
      </w:r>
    </w:p>
    <w:p w14:paraId="56DAC212" w14:textId="77777777" w:rsidR="002D13C4" w:rsidRPr="005E4666" w:rsidRDefault="002D13C4" w:rsidP="002D13C4"/>
    <w:p w14:paraId="21540F12" w14:textId="77777777" w:rsidR="002D13C4" w:rsidRPr="004F2B02" w:rsidRDefault="002D13C4" w:rsidP="002D13C4">
      <w:pPr>
        <w:pStyle w:val="Heading3"/>
      </w:pPr>
      <w:bookmarkStart w:id="280" w:name="_Toc166149275"/>
      <w:r w:rsidRPr="004F2B02">
        <w:t>Five-Year Increments after the First Five Subsequent Fiscal Years</w:t>
      </w:r>
      <w:bookmarkEnd w:id="280"/>
    </w:p>
    <w:p w14:paraId="30D2F9E9" w14:textId="6ECEB798" w:rsidR="002D13C4" w:rsidRPr="004F2B02" w:rsidRDefault="002D13C4" w:rsidP="002D13C4">
      <w:r w:rsidRPr="004F2B02">
        <w:t xml:space="preserve">GASB </w:t>
      </w:r>
      <w:r w:rsidR="006513E5">
        <w:t>96</w:t>
      </w:r>
      <w:r w:rsidRPr="004F2B02">
        <w:t xml:space="preserve"> requires the State to disclose the future minimum payments for each of the five subsequent fiscal years and in five-year increments thereafter for its obligations under </w:t>
      </w:r>
      <w:r w:rsidR="006513E5">
        <w:t>SBITAs</w:t>
      </w:r>
      <w:r w:rsidRPr="004F2B02">
        <w:t xml:space="preserve">.  </w:t>
      </w:r>
    </w:p>
    <w:p w14:paraId="28CA275A" w14:textId="77777777" w:rsidR="002D13C4" w:rsidRPr="004F2B02" w:rsidRDefault="002D13C4" w:rsidP="002D13C4">
      <w:pPr>
        <w:pStyle w:val="Heading3"/>
      </w:pPr>
      <w:bookmarkStart w:id="281" w:name="_Toc166149276"/>
      <w:r w:rsidRPr="004F2B02">
        <w:t>Current Year Lease Payments</w:t>
      </w:r>
      <w:bookmarkEnd w:id="281"/>
    </w:p>
    <w:p w14:paraId="6E547B03" w14:textId="16E0D6D4" w:rsidR="002D13C4" w:rsidRPr="004F2B02" w:rsidRDefault="002D13C4" w:rsidP="002D13C4">
      <w:r w:rsidRPr="004F2B02">
        <w:t xml:space="preserve">GASB </w:t>
      </w:r>
      <w:r w:rsidR="006513E5">
        <w:t>96</w:t>
      </w:r>
      <w:r w:rsidRPr="004F2B02">
        <w:t xml:space="preserve"> also requires the disclosure of the related principal, interest and executory costs of </w:t>
      </w:r>
      <w:r w:rsidR="006513E5">
        <w:t>SBITA</w:t>
      </w:r>
      <w:r w:rsidRPr="004F2B02">
        <w:t xml:space="preserve"> payments for the current fiscal year for </w:t>
      </w:r>
      <w:r w:rsidRPr="004F2B02">
        <w:rPr>
          <w:i/>
          <w:iCs/>
          <w:u w:val="single"/>
        </w:rPr>
        <w:t>all</w:t>
      </w:r>
      <w:r w:rsidRPr="004F2B02">
        <w:t xml:space="preserve"> </w:t>
      </w:r>
      <w:r w:rsidR="006513E5">
        <w:t>SBITAs</w:t>
      </w:r>
      <w:r w:rsidRPr="004F2B02">
        <w:t>.</w:t>
      </w:r>
    </w:p>
    <w:p w14:paraId="3A0021B2" w14:textId="04EE47A0" w:rsidR="002D13C4" w:rsidRPr="004F2B02" w:rsidRDefault="002D13C4" w:rsidP="002D13C4">
      <w:pPr>
        <w:pStyle w:val="Heading3"/>
      </w:pPr>
      <w:bookmarkStart w:id="282" w:name="_Toc166149277"/>
      <w:r w:rsidRPr="004F2B02">
        <w:lastRenderedPageBreak/>
        <w:t xml:space="preserve">Schedules of </w:t>
      </w:r>
      <w:r w:rsidR="006513E5">
        <w:t>SBITA</w:t>
      </w:r>
      <w:r w:rsidRPr="004F2B02">
        <w:t>s</w:t>
      </w:r>
      <w:bookmarkEnd w:id="282"/>
    </w:p>
    <w:p w14:paraId="32196A07" w14:textId="625755AB" w:rsidR="002D13C4" w:rsidRPr="004F2B02" w:rsidRDefault="002D13C4" w:rsidP="002D13C4">
      <w:r w:rsidRPr="004F2B02">
        <w:t xml:space="preserve">Several of the disclosure requirements for </w:t>
      </w:r>
      <w:r w:rsidR="006513E5">
        <w:t>SBITA</w:t>
      </w:r>
      <w:r w:rsidRPr="004F2B02">
        <w:t xml:space="preserve">s could be satisfied by presenting a schedule for all </w:t>
      </w:r>
      <w:r w:rsidR="006513E5">
        <w:t>SBITA</w:t>
      </w:r>
      <w:r w:rsidRPr="004F2B02">
        <w:t>s with the following rows and columns:</w:t>
      </w:r>
    </w:p>
    <w:p w14:paraId="14056982" w14:textId="77777777" w:rsidR="002D13C4" w:rsidRPr="004F2B02" w:rsidRDefault="002D13C4" w:rsidP="002D13C4">
      <w:r w:rsidRPr="004F2B02">
        <w:t>Rows for each of the following:</w:t>
      </w:r>
    </w:p>
    <w:p w14:paraId="2EAD6756" w14:textId="77777777" w:rsidR="002D13C4" w:rsidRPr="004F2B02" w:rsidRDefault="002D13C4" w:rsidP="002D13C4">
      <w:pPr>
        <w:pStyle w:val="Bullet0"/>
      </w:pPr>
      <w:r w:rsidRPr="004F2B02">
        <w:t>Each of the next five years.</w:t>
      </w:r>
    </w:p>
    <w:p w14:paraId="4D62102E" w14:textId="77777777" w:rsidR="002D13C4" w:rsidRPr="004F2B02" w:rsidRDefault="002D13C4" w:rsidP="002D13C4">
      <w:pPr>
        <w:pStyle w:val="Bullet0"/>
      </w:pPr>
      <w:r w:rsidRPr="004F2B02">
        <w:t>Separate five-year increments thereafter.</w:t>
      </w:r>
    </w:p>
    <w:p w14:paraId="4613888E" w14:textId="12E09E29" w:rsidR="002D13C4" w:rsidRPr="004F2B02" w:rsidRDefault="002D13C4" w:rsidP="002D13C4">
      <w:pPr>
        <w:pStyle w:val="Bullet0"/>
      </w:pPr>
      <w:r w:rsidRPr="004F2B02">
        <w:t xml:space="preserve">Total payments (principal and interest separately reported in columns), </w:t>
      </w:r>
      <w:r w:rsidRPr="004F2B02">
        <w:rPr>
          <w:i/>
          <w:iCs/>
        </w:rPr>
        <w:t>excluding</w:t>
      </w:r>
      <w:r w:rsidRPr="004F2B02">
        <w:t xml:space="preserve"> contingent </w:t>
      </w:r>
      <w:r w:rsidR="006513E5">
        <w:t>SBITA</w:t>
      </w:r>
      <w:r w:rsidRPr="004F2B02">
        <w:t>s.</w:t>
      </w:r>
    </w:p>
    <w:p w14:paraId="766A933D" w14:textId="58A9E044" w:rsidR="002D13C4" w:rsidRPr="004F2B02" w:rsidRDefault="002D13C4" w:rsidP="002D13C4">
      <w:pPr>
        <w:pStyle w:val="Heading3"/>
      </w:pPr>
      <w:bookmarkStart w:id="283" w:name="_Toc166149278"/>
      <w:r w:rsidRPr="004F2B02">
        <w:t xml:space="preserve">Assets Acquired under </w:t>
      </w:r>
      <w:r w:rsidR="006513E5">
        <w:t>SBITA</w:t>
      </w:r>
      <w:r w:rsidRPr="004F2B02">
        <w:t>s</w:t>
      </w:r>
      <w:bookmarkEnd w:id="283"/>
    </w:p>
    <w:p w14:paraId="719F7B53" w14:textId="5631E725" w:rsidR="002D13C4" w:rsidRPr="004F2B02" w:rsidRDefault="002D13C4" w:rsidP="002D13C4">
      <w:pPr>
        <w:keepLines/>
      </w:pPr>
      <w:r w:rsidRPr="004F2B02">
        <w:t xml:space="preserve">GASB </w:t>
      </w:r>
      <w:r w:rsidR="006513E5">
        <w:t>96</w:t>
      </w:r>
      <w:r w:rsidRPr="004F2B02">
        <w:t xml:space="preserve"> requires separate presentation of the following: (a) total estimated value (at </w:t>
      </w:r>
      <w:r w:rsidR="006513E5">
        <w:t>SBITA</w:t>
      </w:r>
      <w:r w:rsidRPr="004F2B02">
        <w:t xml:space="preserve"> inception) of the assets recorded under a </w:t>
      </w:r>
      <w:r w:rsidR="006513E5">
        <w:t>SBITA</w:t>
      </w:r>
      <w:r w:rsidRPr="004F2B02">
        <w:t xml:space="preserve"> at the end of the fiscal year, and (b) the accumulated amortization</w:t>
      </w:r>
      <w:r w:rsidRPr="004F2B02">
        <w:rPr>
          <w:rStyle w:val="FootnoteReference"/>
        </w:rPr>
        <w:footnoteReference w:id="35"/>
      </w:r>
      <w:r w:rsidRPr="004F2B02">
        <w:t xml:space="preserve"> amount associated with total capital assets acquired under </w:t>
      </w:r>
      <w:r w:rsidR="003A2052">
        <w:t>SBITAs</w:t>
      </w:r>
      <w:r w:rsidRPr="004F2B02">
        <w:t xml:space="preserve"> at the end of the fiscal year.  For clarity, we also ask that agencies disclose (c) total assets acquired under </w:t>
      </w:r>
      <w:r w:rsidR="003A2052">
        <w:t>SBITA</w:t>
      </w:r>
      <w:r w:rsidRPr="004F2B02">
        <w:t xml:space="preserve">s net of accumulated amortization at the end of the fiscal year (sometimes labeled as </w:t>
      </w:r>
      <w:r w:rsidRPr="004F2B02">
        <w:rPr>
          <w:i/>
          <w:iCs/>
        </w:rPr>
        <w:t>book value</w:t>
      </w:r>
      <w:r w:rsidRPr="004F2B02">
        <w:t xml:space="preserve"> or </w:t>
      </w:r>
      <w:r w:rsidRPr="004F2B02">
        <w:rPr>
          <w:i/>
          <w:iCs/>
        </w:rPr>
        <w:t>carrying value</w:t>
      </w:r>
      <w:r w:rsidRPr="004F2B02">
        <w:t xml:space="preserve">) as illustrated in GASB </w:t>
      </w:r>
      <w:r w:rsidR="003A2052">
        <w:t>96</w:t>
      </w:r>
      <w:r w:rsidRPr="004F2B02">
        <w:t>.  Calculate item (c) as the total in (a) minus (b).</w:t>
      </w:r>
    </w:p>
    <w:p w14:paraId="0E4B1C36" w14:textId="136B3B0A" w:rsidR="002D13C4" w:rsidRPr="004F2B02" w:rsidRDefault="002D13C4" w:rsidP="002D13C4">
      <w:r w:rsidRPr="004F2B02">
        <w:t xml:space="preserve">Presenting a schedule with the following rows and columns could satisfy the GASB </w:t>
      </w:r>
      <w:r w:rsidR="003A2052">
        <w:t>96</w:t>
      </w:r>
      <w:r w:rsidRPr="004F2B02">
        <w:t xml:space="preserve"> disclosure requirements:</w:t>
      </w:r>
    </w:p>
    <w:p w14:paraId="7285FD3C" w14:textId="77777777" w:rsidR="002D13C4" w:rsidRPr="004F2B02" w:rsidRDefault="002D13C4" w:rsidP="002D13C4">
      <w:pPr>
        <w:keepNext/>
        <w:widowControl w:val="0"/>
        <w:ind w:left="180"/>
      </w:pPr>
      <w:r w:rsidRPr="004F2B02">
        <w:t>Rows for each of the following:</w:t>
      </w:r>
    </w:p>
    <w:p w14:paraId="1950DACA" w14:textId="2656CE04" w:rsidR="002D13C4" w:rsidRPr="004F2B02" w:rsidRDefault="003A2052" w:rsidP="002D13C4">
      <w:pPr>
        <w:pStyle w:val="Bullet0"/>
      </w:pPr>
      <w:r>
        <w:t>A</w:t>
      </w:r>
      <w:r w:rsidR="002D13C4" w:rsidRPr="004F2B02">
        <w:t xml:space="preserve">sset category </w:t>
      </w:r>
      <w:r>
        <w:t>with</w:t>
      </w:r>
      <w:r w:rsidR="002D13C4" w:rsidRPr="004F2B02">
        <w:t xml:space="preserve"> </w:t>
      </w:r>
      <w:r>
        <w:t>SBITA</w:t>
      </w:r>
      <w:r w:rsidR="002D13C4" w:rsidRPr="004F2B02">
        <w:t xml:space="preserve"> assets.</w:t>
      </w:r>
    </w:p>
    <w:p w14:paraId="4DE631C0" w14:textId="419C7503" w:rsidR="002D13C4" w:rsidRPr="004F2B02" w:rsidRDefault="002D13C4" w:rsidP="002D13C4">
      <w:pPr>
        <w:pStyle w:val="Bullet0"/>
      </w:pPr>
      <w:r w:rsidRPr="004F2B02">
        <w:t xml:space="preserve">Total assets acquired under </w:t>
      </w:r>
      <w:r w:rsidR="003A2052">
        <w:t>SBITA</w:t>
      </w:r>
      <w:r w:rsidRPr="004F2B02">
        <w:t>s (before accumulated amortization).</w:t>
      </w:r>
    </w:p>
    <w:p w14:paraId="130F7FB3" w14:textId="77777777" w:rsidR="002D13C4" w:rsidRPr="004F2B02" w:rsidRDefault="002D13C4" w:rsidP="002D13C4">
      <w:pPr>
        <w:pStyle w:val="Bullet0"/>
      </w:pPr>
      <w:r w:rsidRPr="004F2B02">
        <w:t>Less:  Accumulated amortization.</w:t>
      </w:r>
    </w:p>
    <w:p w14:paraId="54A2AD8C" w14:textId="7E6DD384" w:rsidR="002D13C4" w:rsidRPr="004F2B02" w:rsidRDefault="002D13C4" w:rsidP="002D13C4">
      <w:pPr>
        <w:pStyle w:val="Bullet0"/>
      </w:pPr>
      <w:r w:rsidRPr="004F2B02">
        <w:t xml:space="preserve">Total assets acquired under </w:t>
      </w:r>
      <w:r w:rsidR="003A2052">
        <w:t>SBITA</w:t>
      </w:r>
      <w:r w:rsidRPr="004F2B02">
        <w:t>s, net.</w:t>
      </w:r>
    </w:p>
    <w:p w14:paraId="1D11CCD6" w14:textId="2AF2B08B" w:rsidR="002D13C4" w:rsidRPr="002566D3" w:rsidRDefault="002D13C4" w:rsidP="002D13C4">
      <w:pPr>
        <w:pStyle w:val="Heading3"/>
      </w:pPr>
      <w:bookmarkStart w:id="284" w:name="_Toc166149279"/>
      <w:r w:rsidRPr="002566D3">
        <w:t xml:space="preserve">Contingent </w:t>
      </w:r>
      <w:r w:rsidR="003A2052">
        <w:t>Payment</w:t>
      </w:r>
      <w:r w:rsidRPr="002566D3">
        <w:t>s Associated with</w:t>
      </w:r>
      <w:r>
        <w:t xml:space="preserve"> </w:t>
      </w:r>
      <w:r w:rsidR="003A2052">
        <w:t>SBITA</w:t>
      </w:r>
      <w:r w:rsidRPr="002566D3">
        <w:t>s</w:t>
      </w:r>
      <w:bookmarkEnd w:id="284"/>
    </w:p>
    <w:p w14:paraId="4EEBEB08" w14:textId="102AE6A8" w:rsidR="002D13C4" w:rsidRPr="002566D3" w:rsidRDefault="002D13C4" w:rsidP="002D13C4">
      <w:r w:rsidRPr="002566D3">
        <w:rPr>
          <w:i/>
          <w:iCs/>
        </w:rPr>
        <w:t xml:space="preserve">Contingent </w:t>
      </w:r>
      <w:r w:rsidR="003A2052">
        <w:rPr>
          <w:i/>
          <w:iCs/>
        </w:rPr>
        <w:t>Payments</w:t>
      </w:r>
      <w:r w:rsidRPr="002566D3">
        <w:t xml:space="preserve"> are </w:t>
      </w:r>
      <w:r w:rsidR="003A2052">
        <w:t>payments</w:t>
      </w:r>
      <w:r w:rsidRPr="002566D3">
        <w:t xml:space="preserve"> on which the amounts paid are dependent on some factor other than the passage of time.</w:t>
      </w:r>
    </w:p>
    <w:p w14:paraId="4BA48213" w14:textId="658FB318" w:rsidR="002D13C4" w:rsidRPr="002566D3" w:rsidRDefault="002D13C4" w:rsidP="002D13C4">
      <w:pPr>
        <w:keepNext/>
      </w:pPr>
      <w:r>
        <w:t xml:space="preserve">GASB </w:t>
      </w:r>
      <w:r w:rsidR="003A2052">
        <w:t>96</w:t>
      </w:r>
      <w:r w:rsidRPr="002566D3">
        <w:t xml:space="preserve"> require</w:t>
      </w:r>
      <w:r>
        <w:t>s</w:t>
      </w:r>
      <w:r w:rsidRPr="002566D3">
        <w:t xml:space="preserve"> disclosure of the contingent rental expense as a separate amount, along with the </w:t>
      </w:r>
      <w:r w:rsidRPr="002566D3">
        <w:rPr>
          <w:i/>
          <w:iCs/>
        </w:rPr>
        <w:t>basis</w:t>
      </w:r>
      <w:r w:rsidRPr="002566D3">
        <w:t xml:space="preserve"> on which contingent rental payments are determined.  </w:t>
      </w:r>
      <w:r w:rsidRPr="002566D3">
        <w:rPr>
          <w:i/>
          <w:iCs/>
        </w:rPr>
        <w:t>Future</w:t>
      </w:r>
      <w:r w:rsidRPr="002566D3">
        <w:t xml:space="preserve"> contingent </w:t>
      </w:r>
      <w:r w:rsidR="00DC62B9">
        <w:t xml:space="preserve">rental </w:t>
      </w:r>
      <w:r w:rsidR="003A2052">
        <w:t xml:space="preserve">payments </w:t>
      </w:r>
      <w:r w:rsidRPr="002566D3">
        <w:t>need not be disclosed; disclose only the contingent rental</w:t>
      </w:r>
      <w:r w:rsidR="003A2052">
        <w:t xml:space="preserve"> payment</w:t>
      </w:r>
      <w:r w:rsidRPr="002566D3">
        <w:t xml:space="preserve"> amount paid during the </w:t>
      </w:r>
      <w:r w:rsidRPr="002566D3">
        <w:rPr>
          <w:i/>
          <w:iCs/>
        </w:rPr>
        <w:t>current</w:t>
      </w:r>
      <w:r w:rsidRPr="002566D3">
        <w:t xml:space="preserve"> fiscal year.  This </w:t>
      </w:r>
      <w:r w:rsidRPr="002566D3">
        <w:lastRenderedPageBreak/>
        <w:t xml:space="preserve">disclosure for contingent rental expenses is separate from, and in addition to, the minimum </w:t>
      </w:r>
      <w:r w:rsidR="003A2052">
        <w:t>SBITA</w:t>
      </w:r>
      <w:r w:rsidRPr="002566D3">
        <w:t xml:space="preserve"> payment information.</w:t>
      </w:r>
    </w:p>
    <w:p w14:paraId="011EE986" w14:textId="77777777" w:rsidR="002D13C4" w:rsidRDefault="002D13C4" w:rsidP="002D13C4">
      <w:pPr>
        <w:keepNext/>
        <w:widowControl w:val="0"/>
      </w:pPr>
      <w:r w:rsidRPr="002566D3">
        <w:t>In addition, the following must be disclosed in this situation:</w:t>
      </w:r>
    </w:p>
    <w:p w14:paraId="19F16C42" w14:textId="642D7DD7" w:rsidR="002D13C4" w:rsidRPr="00A977AC" w:rsidRDefault="002D13C4" w:rsidP="002D13C4">
      <w:pPr>
        <w:pStyle w:val="Bullet0"/>
      </w:pPr>
      <w:r w:rsidRPr="00A977AC">
        <w:t xml:space="preserve">Contingent </w:t>
      </w:r>
      <w:r w:rsidR="003A2052">
        <w:t>payments</w:t>
      </w:r>
      <w:r w:rsidRPr="00A977AC">
        <w:t xml:space="preserve"> paid during the current year to discretely presented component units under </w:t>
      </w:r>
      <w:r w:rsidR="003A2052">
        <w:t>SBITAs</w:t>
      </w:r>
      <w:r w:rsidRPr="00A977AC">
        <w:t>.</w:t>
      </w:r>
    </w:p>
    <w:p w14:paraId="5DD2EAC1" w14:textId="73F95D77" w:rsidR="002D13C4" w:rsidRPr="00A977AC" w:rsidRDefault="002D13C4" w:rsidP="002D13C4">
      <w:pPr>
        <w:pStyle w:val="Bullet0"/>
      </w:pPr>
      <w:r w:rsidRPr="00A977AC">
        <w:t xml:space="preserve">Contingent </w:t>
      </w:r>
      <w:r w:rsidR="003A2052">
        <w:t>payment</w:t>
      </w:r>
      <w:r w:rsidRPr="00A977AC">
        <w:t xml:space="preserve">s paid during the current year to external parties under </w:t>
      </w:r>
      <w:r w:rsidR="003A2052">
        <w:t>SBITA</w:t>
      </w:r>
      <w:r w:rsidRPr="00A977AC">
        <w:t>s.</w:t>
      </w:r>
    </w:p>
    <w:p w14:paraId="7F84DE17" w14:textId="2B09DDBB" w:rsidR="002D13C4" w:rsidRPr="003B02BA" w:rsidRDefault="002D13C4" w:rsidP="002D13C4">
      <w:pPr>
        <w:pStyle w:val="Bullet0"/>
      </w:pPr>
      <w:r w:rsidRPr="003B02BA">
        <w:t xml:space="preserve">Contingent </w:t>
      </w:r>
      <w:r w:rsidR="003A2052" w:rsidRPr="003B02BA">
        <w:t>payment</w:t>
      </w:r>
      <w:r w:rsidRPr="003B02BA">
        <w:t xml:space="preserve">s paid during the current year to other State agencies and blended component units under </w:t>
      </w:r>
      <w:r w:rsidR="003A2052" w:rsidRPr="003B02BA">
        <w:t>SBITA</w:t>
      </w:r>
      <w:r w:rsidRPr="003B02BA">
        <w:t>s.</w:t>
      </w:r>
    </w:p>
    <w:p w14:paraId="27491723" w14:textId="56784F7C" w:rsidR="002D13C4" w:rsidRPr="002566D3" w:rsidRDefault="002D13C4" w:rsidP="002D13C4">
      <w:pPr>
        <w:keepNext/>
        <w:widowControl w:val="0"/>
      </w:pPr>
      <w:r>
        <w:t xml:space="preserve">GASB </w:t>
      </w:r>
      <w:r w:rsidR="006513E5">
        <w:t>96</w:t>
      </w:r>
      <w:r w:rsidRPr="002566D3">
        <w:t xml:space="preserve"> requires the disclosure of total contingent </w:t>
      </w:r>
      <w:r w:rsidR="00DC62B9">
        <w:t>rental</w:t>
      </w:r>
      <w:r w:rsidRPr="002566D3">
        <w:t xml:space="preserve"> payments for </w:t>
      </w:r>
      <w:r w:rsidR="006513E5">
        <w:t>SBITA</w:t>
      </w:r>
      <w:r w:rsidRPr="002566D3">
        <w:t>s actually incurred for each period for which an income statement is presented.</w:t>
      </w:r>
    </w:p>
    <w:p w14:paraId="558D51EC" w14:textId="77777777" w:rsidR="00B95A1D" w:rsidRDefault="00B95A1D" w:rsidP="00574242">
      <w:pPr>
        <w:rPr>
          <w:szCs w:val="24"/>
        </w:rPr>
      </w:pPr>
    </w:p>
    <w:p w14:paraId="298CB642" w14:textId="77777777" w:rsidR="0012040B" w:rsidRDefault="002513F7" w:rsidP="003B02BA">
      <w:pPr>
        <w:pStyle w:val="Heading2"/>
      </w:pPr>
      <w:bookmarkStart w:id="285" w:name="_Toc296021465"/>
      <w:bookmarkStart w:id="286" w:name="_Toc296021554"/>
      <w:bookmarkStart w:id="287" w:name="_Toc296235446"/>
      <w:bookmarkStart w:id="288" w:name="_Toc296235547"/>
      <w:bookmarkStart w:id="289" w:name="_Toc296247834"/>
      <w:bookmarkStart w:id="290" w:name="_Toc166149280"/>
      <w:r w:rsidRPr="00CE1C4E">
        <w:t>Section _.12 Accounts Payable</w:t>
      </w:r>
      <w:bookmarkEnd w:id="285"/>
      <w:bookmarkEnd w:id="286"/>
      <w:bookmarkEnd w:id="287"/>
      <w:bookmarkEnd w:id="288"/>
      <w:bookmarkEnd w:id="289"/>
      <w:bookmarkEnd w:id="290"/>
    </w:p>
    <w:p w14:paraId="1638CE8E" w14:textId="7339FB8C" w:rsidR="00CE1C4E" w:rsidRPr="001A3D9E" w:rsidRDefault="00B33B29" w:rsidP="00CE1C4E">
      <w:pPr>
        <w:rPr>
          <w:szCs w:val="24"/>
        </w:rPr>
      </w:pPr>
      <w:r w:rsidRPr="001A3D9E">
        <w:rPr>
          <w:szCs w:val="24"/>
        </w:rPr>
        <w:t xml:space="preserve">This reporting package focuses on Accounts Payable, Accrued Expenses (not payroll related), and Contract </w:t>
      </w:r>
      <w:r w:rsidR="002C1DE2" w:rsidRPr="002C1DE2">
        <w:rPr>
          <w:szCs w:val="24"/>
        </w:rPr>
        <w:t>Retentions</w:t>
      </w:r>
      <w:r w:rsidRPr="001A3D9E">
        <w:rPr>
          <w:szCs w:val="24"/>
        </w:rPr>
        <w:t>.</w:t>
      </w:r>
      <w:r>
        <w:rPr>
          <w:szCs w:val="24"/>
        </w:rPr>
        <w:t xml:space="preserve"> </w:t>
      </w:r>
      <w:r w:rsidR="00CE1C4E" w:rsidRPr="001A3D9E">
        <w:rPr>
          <w:szCs w:val="24"/>
        </w:rPr>
        <w:t xml:space="preserve">GAAP for governmental entities require the reporting of liabilities (unpaid obligations) of the government as of the end of the year (June 30). </w:t>
      </w:r>
      <w:r w:rsidR="004A54B4" w:rsidRPr="004A54B4">
        <w:rPr>
          <w:szCs w:val="24"/>
        </w:rPr>
        <w:t>A/P Processing continues past June 30 so a payable does not exist if amounts due as of June 30 were paid with that year’s funds i.e. paid during extended period 12 or period 13.</w:t>
      </w:r>
      <w:r w:rsidR="004A54B4">
        <w:rPr>
          <w:szCs w:val="24"/>
        </w:rPr>
        <w:t xml:space="preserve"> </w:t>
      </w:r>
      <w:r w:rsidR="00BD1D2D" w:rsidRPr="00BD1D2D">
        <w:rPr>
          <w:szCs w:val="24"/>
        </w:rPr>
        <w:t>Agencies may decide to not report liabilities if 12 months of expenditures have already been recorded in the</w:t>
      </w:r>
      <w:r w:rsidR="00BD1D2D" w:rsidRPr="00BD1D2D">
        <w:t xml:space="preserve"> </w:t>
      </w:r>
      <w:r w:rsidR="00BD1D2D" w:rsidRPr="00BD1D2D">
        <w:rPr>
          <w:szCs w:val="24"/>
        </w:rPr>
        <w:t xml:space="preserve">current year for recurring items that have been in </w:t>
      </w:r>
      <w:r w:rsidR="00BD1D2D" w:rsidRPr="00757CAD">
        <w:rPr>
          <w:szCs w:val="24"/>
        </w:rPr>
        <w:t>existence</w:t>
      </w:r>
      <w:r w:rsidR="00FE7655" w:rsidRPr="00757CAD">
        <w:rPr>
          <w:szCs w:val="24"/>
        </w:rPr>
        <w:t xml:space="preserve"> or for invoices individually under $100,000 with less than 50% related to prior year. For invoices exceeding $100,000, the calculation is required based on service dates.</w:t>
      </w:r>
      <w:r w:rsidR="00BD1D2D" w:rsidRPr="00BD1D2D">
        <w:rPr>
          <w:szCs w:val="24"/>
        </w:rPr>
        <w:t xml:space="preserve">  Some agencies may choose to follow GAAP</w:t>
      </w:r>
      <w:r w:rsidR="00BD1D2D" w:rsidRPr="00BD1D2D">
        <w:t xml:space="preserve"> </w:t>
      </w:r>
      <w:r w:rsidR="00BD1D2D" w:rsidRPr="00BD1D2D">
        <w:rPr>
          <w:szCs w:val="24"/>
        </w:rPr>
        <w:t xml:space="preserve">accounting and accrue the full </w:t>
      </w:r>
      <w:proofErr w:type="gramStart"/>
      <w:r w:rsidR="00BD1D2D" w:rsidRPr="00BD1D2D">
        <w:rPr>
          <w:szCs w:val="24"/>
        </w:rPr>
        <w:t>liability</w:t>
      </w:r>
      <w:proofErr w:type="gramEnd"/>
      <w:r w:rsidR="00BD1D2D" w:rsidRPr="00BD1D2D">
        <w:rPr>
          <w:szCs w:val="24"/>
        </w:rPr>
        <w:t xml:space="preserve"> but this exception has traditionally been available to agencies.</w:t>
      </w:r>
    </w:p>
    <w:p w14:paraId="1C58E97E" w14:textId="77777777" w:rsidR="00CE1C4E" w:rsidRPr="001A3D9E" w:rsidRDefault="00CE1C4E" w:rsidP="00CE1C4E">
      <w:pPr>
        <w:spacing w:after="60"/>
        <w:rPr>
          <w:szCs w:val="24"/>
        </w:rPr>
      </w:pPr>
      <w:r w:rsidRPr="001A3D9E">
        <w:rPr>
          <w:szCs w:val="24"/>
        </w:rPr>
        <w:t>Liabilities arise from:</w:t>
      </w:r>
    </w:p>
    <w:p w14:paraId="1A023A54" w14:textId="77777777" w:rsidR="00CE1C4E" w:rsidRPr="001A3D9E" w:rsidRDefault="00CE1C4E" w:rsidP="005C2F33">
      <w:pPr>
        <w:pStyle w:val="Bullet10"/>
        <w:numPr>
          <w:ilvl w:val="0"/>
          <w:numId w:val="24"/>
        </w:numPr>
        <w:spacing w:before="60" w:after="60"/>
        <w:ind w:left="792"/>
        <w:rPr>
          <w:szCs w:val="24"/>
        </w:rPr>
      </w:pPr>
      <w:r w:rsidRPr="001A3D9E">
        <w:rPr>
          <w:szCs w:val="24"/>
        </w:rPr>
        <w:t>Goods delivered on or before year-end.</w:t>
      </w:r>
    </w:p>
    <w:p w14:paraId="62845ACA" w14:textId="77777777" w:rsidR="00CE1C4E" w:rsidRDefault="00CE1C4E" w:rsidP="005C2F33">
      <w:pPr>
        <w:pStyle w:val="Bullet10"/>
        <w:numPr>
          <w:ilvl w:val="0"/>
          <w:numId w:val="24"/>
        </w:numPr>
        <w:spacing w:before="60" w:after="60"/>
        <w:ind w:left="792"/>
        <w:rPr>
          <w:szCs w:val="24"/>
        </w:rPr>
      </w:pPr>
      <w:r w:rsidRPr="001A3D9E">
        <w:rPr>
          <w:szCs w:val="24"/>
        </w:rPr>
        <w:t>Services received on or before year-end.</w:t>
      </w:r>
    </w:p>
    <w:p w14:paraId="0A9BF305" w14:textId="77777777" w:rsidR="00295DC7" w:rsidRPr="001A3D9E" w:rsidRDefault="00295DC7" w:rsidP="005C2F33">
      <w:pPr>
        <w:pStyle w:val="Bullet10"/>
        <w:numPr>
          <w:ilvl w:val="0"/>
          <w:numId w:val="24"/>
        </w:numPr>
        <w:spacing w:before="60" w:after="60"/>
        <w:rPr>
          <w:szCs w:val="24"/>
        </w:rPr>
      </w:pPr>
      <w:r>
        <w:rPr>
          <w:szCs w:val="24"/>
        </w:rPr>
        <w:t>R</w:t>
      </w:r>
      <w:r w:rsidRPr="00295DC7">
        <w:rPr>
          <w:szCs w:val="24"/>
        </w:rPr>
        <w:t xml:space="preserve">efunds of revenue </w:t>
      </w:r>
      <w:r>
        <w:rPr>
          <w:szCs w:val="24"/>
        </w:rPr>
        <w:t xml:space="preserve">owed </w:t>
      </w:r>
      <w:r w:rsidRPr="00295DC7">
        <w:rPr>
          <w:szCs w:val="24"/>
        </w:rPr>
        <w:t>to other parties (excluding income tax refunds)</w:t>
      </w:r>
      <w:r w:rsidRPr="00295DC7">
        <w:t xml:space="preserve"> </w:t>
      </w:r>
      <w:proofErr w:type="gramStart"/>
      <w:r w:rsidRPr="00295DC7">
        <w:rPr>
          <w:szCs w:val="24"/>
        </w:rPr>
        <w:t>at</w:t>
      </w:r>
      <w:proofErr w:type="gramEnd"/>
      <w:r w:rsidRPr="00295DC7">
        <w:rPr>
          <w:szCs w:val="24"/>
        </w:rPr>
        <w:t xml:space="preserve"> June 30 but not paid by the end of the fiscal year</w:t>
      </w:r>
      <w:r>
        <w:rPr>
          <w:szCs w:val="24"/>
        </w:rPr>
        <w:t>.</w:t>
      </w:r>
    </w:p>
    <w:p w14:paraId="1BC6AF0E" w14:textId="77777777" w:rsidR="00CE1C4E" w:rsidRPr="001A3D9E" w:rsidRDefault="00CE1C4E" w:rsidP="005C2F33">
      <w:pPr>
        <w:pStyle w:val="Bullet10"/>
        <w:numPr>
          <w:ilvl w:val="0"/>
          <w:numId w:val="24"/>
        </w:numPr>
        <w:spacing w:before="60" w:after="60"/>
        <w:ind w:left="792"/>
        <w:rPr>
          <w:szCs w:val="24"/>
        </w:rPr>
      </w:pPr>
      <w:r w:rsidRPr="001A3D9E">
        <w:rPr>
          <w:szCs w:val="24"/>
        </w:rPr>
        <w:t>Contractual obligations outstanding to a vendor.  (These typically are not invoiced but are recurring monthly obligations or accumulating retentions.)  (Additional payments due on these may constitute a future commitment to be reported in the miscellaneous liabilities package.)</w:t>
      </w:r>
    </w:p>
    <w:p w14:paraId="30367451" w14:textId="77777777" w:rsidR="00CE1C4E" w:rsidRPr="001A3D9E" w:rsidRDefault="00CE1C4E" w:rsidP="005C2F33">
      <w:pPr>
        <w:pStyle w:val="Bullet10"/>
        <w:numPr>
          <w:ilvl w:val="0"/>
          <w:numId w:val="24"/>
        </w:numPr>
        <w:spacing w:before="60"/>
        <w:ind w:left="792"/>
        <w:rPr>
          <w:szCs w:val="24"/>
        </w:rPr>
      </w:pPr>
      <w:r w:rsidRPr="001A3D9E">
        <w:rPr>
          <w:szCs w:val="24"/>
        </w:rPr>
        <w:t xml:space="preserve">Other Contractual obligations outstanding of the government.  (These typically relate </w:t>
      </w:r>
      <w:r w:rsidR="00AA2189">
        <w:rPr>
          <w:szCs w:val="24"/>
        </w:rPr>
        <w:t>to grant awards).  Payables to g</w:t>
      </w:r>
      <w:r w:rsidRPr="001A3D9E">
        <w:rPr>
          <w:szCs w:val="24"/>
        </w:rPr>
        <w:t>rant recipients or subrecipients are determined by the terms o</w:t>
      </w:r>
      <w:r w:rsidR="00AA2189">
        <w:rPr>
          <w:szCs w:val="24"/>
        </w:rPr>
        <w:t xml:space="preserve">f the grant agreement.  </w:t>
      </w:r>
      <w:proofErr w:type="gramStart"/>
      <w:r w:rsidR="00AA2189">
        <w:rPr>
          <w:szCs w:val="24"/>
        </w:rPr>
        <w:t>Similar</w:t>
      </w:r>
      <w:r w:rsidRPr="001A3D9E">
        <w:rPr>
          <w:szCs w:val="24"/>
        </w:rPr>
        <w:t xml:space="preserve"> to</w:t>
      </w:r>
      <w:proofErr w:type="gramEnd"/>
      <w:r w:rsidRPr="001A3D9E">
        <w:rPr>
          <w:szCs w:val="24"/>
        </w:rPr>
        <w:t xml:space="preserve"> a c</w:t>
      </w:r>
      <w:r w:rsidR="00AA2189">
        <w:rPr>
          <w:szCs w:val="24"/>
        </w:rPr>
        <w:t>ontract retention</w:t>
      </w:r>
      <w:r w:rsidRPr="001A3D9E">
        <w:rPr>
          <w:szCs w:val="24"/>
        </w:rPr>
        <w:t xml:space="preserve">, the amount and timing of the payable recognition relies </w:t>
      </w:r>
      <w:r w:rsidRPr="001A3D9E">
        <w:rPr>
          <w:szCs w:val="24"/>
        </w:rPr>
        <w:lastRenderedPageBreak/>
        <w:t>on the compliance with eligibility requirements</w:t>
      </w:r>
      <w:r w:rsidRPr="001A3D9E">
        <w:rPr>
          <w:rStyle w:val="FootnoteReference"/>
          <w:szCs w:val="24"/>
        </w:rPr>
        <w:footnoteReference w:id="36"/>
      </w:r>
      <w:r w:rsidRPr="001A3D9E">
        <w:rPr>
          <w:szCs w:val="24"/>
        </w:rPr>
        <w:t>.  When the eligibility requirements are met, an expenditure and related liability should be recognized.</w:t>
      </w:r>
      <w:r w:rsidRPr="001A3D9E">
        <w:rPr>
          <w:rStyle w:val="FootnoteReference"/>
          <w:szCs w:val="24"/>
        </w:rPr>
        <w:footnoteReference w:id="37"/>
      </w:r>
      <w:r w:rsidRPr="001A3D9E">
        <w:rPr>
          <w:szCs w:val="24"/>
        </w:rPr>
        <w:t xml:space="preserve">  </w:t>
      </w:r>
    </w:p>
    <w:p w14:paraId="3419252A" w14:textId="77777777" w:rsidR="00CE1C4E" w:rsidRPr="001A3D9E" w:rsidRDefault="00CE1C4E" w:rsidP="00CE1C4E">
      <w:pPr>
        <w:keepNext/>
        <w:spacing w:after="60"/>
        <w:rPr>
          <w:szCs w:val="24"/>
        </w:rPr>
      </w:pPr>
      <w:r w:rsidRPr="001A3D9E">
        <w:rPr>
          <w:szCs w:val="24"/>
        </w:rPr>
        <w:t xml:space="preserve">The following specific types of current liabilities are reported under separate reporting packages and should be </w:t>
      </w:r>
      <w:r w:rsidRPr="001A3D9E">
        <w:rPr>
          <w:b/>
          <w:i/>
          <w:szCs w:val="24"/>
          <w:u w:val="single"/>
        </w:rPr>
        <w:t>excluded</w:t>
      </w:r>
      <w:r w:rsidRPr="001A3D9E">
        <w:rPr>
          <w:szCs w:val="24"/>
        </w:rPr>
        <w:t xml:space="preserve"> from this package.  These may appear as reconciling items.  They include:  </w:t>
      </w:r>
    </w:p>
    <w:p w14:paraId="43B378A6" w14:textId="77777777" w:rsidR="00CE1C4E" w:rsidRPr="001A3D9E" w:rsidRDefault="00CE1C4E" w:rsidP="00CE1C4E">
      <w:pPr>
        <w:pStyle w:val="Bullet10"/>
        <w:spacing w:before="60"/>
        <w:ind w:hanging="360"/>
        <w:rPr>
          <w:szCs w:val="24"/>
        </w:rPr>
      </w:pPr>
      <w:r w:rsidRPr="001A3D9E">
        <w:rPr>
          <w:szCs w:val="24"/>
        </w:rPr>
        <w:t>o</w:t>
      </w:r>
      <w:r w:rsidRPr="001A3D9E">
        <w:rPr>
          <w:szCs w:val="24"/>
        </w:rPr>
        <w:tab/>
        <w:t>Amounts payable</w:t>
      </w:r>
      <w:r w:rsidR="00B33B29">
        <w:rPr>
          <w:szCs w:val="24"/>
        </w:rPr>
        <w:t xml:space="preserve"> </w:t>
      </w:r>
      <w:r w:rsidR="00BD1D2D">
        <w:rPr>
          <w:szCs w:val="24"/>
        </w:rPr>
        <w:t xml:space="preserve">individually </w:t>
      </w:r>
      <w:r w:rsidR="00B33B29">
        <w:rPr>
          <w:szCs w:val="24"/>
        </w:rPr>
        <w:t>over $100,000</w:t>
      </w:r>
      <w:r w:rsidRPr="001A3D9E">
        <w:rPr>
          <w:szCs w:val="24"/>
        </w:rPr>
        <w:t xml:space="preserve"> to other State agencies within the State’s financial reporting entity and to other funds within your agency</w:t>
      </w:r>
      <w:r w:rsidRPr="001A3D9E">
        <w:rPr>
          <w:rStyle w:val="FootnoteReference"/>
          <w:szCs w:val="24"/>
        </w:rPr>
        <w:footnoteReference w:id="38"/>
      </w:r>
      <w:r w:rsidRPr="001A3D9E">
        <w:rPr>
          <w:szCs w:val="24"/>
        </w:rPr>
        <w:t>.</w:t>
      </w:r>
      <w:r w:rsidR="00E758C2" w:rsidRPr="00E758C2">
        <w:rPr>
          <w:szCs w:val="24"/>
        </w:rPr>
        <w:t>.</w:t>
      </w:r>
    </w:p>
    <w:p w14:paraId="57286194" w14:textId="77777777" w:rsidR="00CE1C4E" w:rsidRPr="001A3D9E" w:rsidRDefault="00CE1C4E" w:rsidP="00CE1C4E">
      <w:pPr>
        <w:pStyle w:val="Bullet10"/>
        <w:ind w:hanging="360"/>
        <w:rPr>
          <w:szCs w:val="24"/>
        </w:rPr>
      </w:pPr>
      <w:r w:rsidRPr="001A3D9E">
        <w:rPr>
          <w:szCs w:val="24"/>
        </w:rPr>
        <w:t>o</w:t>
      </w:r>
      <w:r w:rsidRPr="001A3D9E">
        <w:rPr>
          <w:szCs w:val="24"/>
        </w:rPr>
        <w:tab/>
        <w:t>Payroll and fringe benefits payable paid on Payroll or IDT Document Types.</w:t>
      </w:r>
    </w:p>
    <w:p w14:paraId="43344C79" w14:textId="77777777" w:rsidR="00CE1C4E" w:rsidRPr="001A3D9E" w:rsidRDefault="00CE1C4E" w:rsidP="00CE1C4E">
      <w:pPr>
        <w:pStyle w:val="Bullet10"/>
        <w:ind w:hanging="360"/>
        <w:rPr>
          <w:szCs w:val="24"/>
        </w:rPr>
      </w:pPr>
      <w:r w:rsidRPr="001A3D9E">
        <w:rPr>
          <w:szCs w:val="24"/>
        </w:rPr>
        <w:t>o</w:t>
      </w:r>
      <w:r w:rsidRPr="001A3D9E">
        <w:rPr>
          <w:szCs w:val="24"/>
        </w:rPr>
        <w:tab/>
        <w:t>Debt service payable.</w:t>
      </w:r>
    </w:p>
    <w:p w14:paraId="48669267" w14:textId="77777777" w:rsidR="00CE1C4E" w:rsidRPr="001A3D9E" w:rsidRDefault="00CE1C4E" w:rsidP="00CE1C4E">
      <w:pPr>
        <w:pStyle w:val="Bullet10"/>
        <w:ind w:hanging="360"/>
        <w:rPr>
          <w:szCs w:val="24"/>
        </w:rPr>
      </w:pPr>
      <w:r w:rsidRPr="001A3D9E">
        <w:rPr>
          <w:szCs w:val="24"/>
        </w:rPr>
        <w:t>o</w:t>
      </w:r>
      <w:r w:rsidRPr="001A3D9E">
        <w:rPr>
          <w:szCs w:val="24"/>
        </w:rPr>
        <w:tab/>
        <w:t xml:space="preserve">Those claims payable that are required to be reported on the Claims Reporting Package.  Report all </w:t>
      </w:r>
      <w:r w:rsidRPr="001A3D9E">
        <w:rPr>
          <w:i/>
          <w:szCs w:val="24"/>
        </w:rPr>
        <w:t>other</w:t>
      </w:r>
      <w:r w:rsidRPr="001A3D9E">
        <w:rPr>
          <w:szCs w:val="24"/>
        </w:rPr>
        <w:t xml:space="preserve"> claims payable</w:t>
      </w:r>
      <w:r w:rsidR="0098709E">
        <w:rPr>
          <w:szCs w:val="24"/>
        </w:rPr>
        <w:t xml:space="preserve"> (not included in the Claims Reporting Package)</w:t>
      </w:r>
      <w:r w:rsidRPr="001A3D9E">
        <w:rPr>
          <w:szCs w:val="24"/>
        </w:rPr>
        <w:t xml:space="preserve"> in the Accounts Payable Reporting Package.</w:t>
      </w:r>
    </w:p>
    <w:p w14:paraId="220B4818" w14:textId="5D0C234D" w:rsidR="00914D43" w:rsidRDefault="00CE1C4E">
      <w:pPr>
        <w:keepLines/>
        <w:rPr>
          <w:szCs w:val="24"/>
        </w:rPr>
      </w:pPr>
      <w:r w:rsidRPr="001A3D9E">
        <w:rPr>
          <w:szCs w:val="24"/>
        </w:rPr>
        <w:t>In addition, GAAP recognizes that differences in the evaluation of these transactions arise from differences in the operations giving rise to them.  Governmental Fund Types report expenditures while funds with charges for service report expenses</w:t>
      </w:r>
      <w:r w:rsidRPr="001A3D9E">
        <w:rPr>
          <w:rStyle w:val="FootnoteReference"/>
          <w:szCs w:val="24"/>
        </w:rPr>
        <w:footnoteReference w:id="39"/>
      </w:r>
      <w:r w:rsidRPr="001A3D9E">
        <w:rPr>
          <w:szCs w:val="24"/>
        </w:rPr>
        <w:t>.  The accounting entries to record payables affect expenditures or expenses.  Therefore</w:t>
      </w:r>
      <w:r w:rsidR="00E17F2B">
        <w:rPr>
          <w:szCs w:val="24"/>
        </w:rPr>
        <w:t>,</w:t>
      </w:r>
      <w:r w:rsidRPr="001A3D9E">
        <w:rPr>
          <w:szCs w:val="24"/>
        </w:rPr>
        <w:t xml:space="preserve"> proper identification of the funds and fund types in which the transactions should properly be reflected is an important part of the identification of the transaction and its reporting.</w:t>
      </w:r>
    </w:p>
    <w:p w14:paraId="25D98FEB" w14:textId="77777777" w:rsidR="00CE1C4E" w:rsidRPr="001A3D9E" w:rsidRDefault="0098709E" w:rsidP="00CE1C4E">
      <w:pPr>
        <w:rPr>
          <w:szCs w:val="24"/>
        </w:rPr>
      </w:pPr>
      <w:r>
        <w:rPr>
          <w:szCs w:val="24"/>
        </w:rPr>
        <w:t>Due to</w:t>
      </w:r>
      <w:r w:rsidR="00CE1C4E" w:rsidRPr="001A3D9E">
        <w:rPr>
          <w:szCs w:val="24"/>
        </w:rPr>
        <w:t xml:space="preserve"> the complexity in rules for expenditure recognition</w:t>
      </w:r>
      <w:r w:rsidR="00CE1C4E" w:rsidRPr="001A3D9E">
        <w:rPr>
          <w:rStyle w:val="FootnoteReference"/>
          <w:szCs w:val="24"/>
        </w:rPr>
        <w:footnoteReference w:id="40"/>
      </w:r>
      <w:r w:rsidR="00CE1C4E" w:rsidRPr="001A3D9E">
        <w:rPr>
          <w:szCs w:val="24"/>
        </w:rPr>
        <w:t xml:space="preserve"> agencies must carefully document the date when they receive goods or services.  Invoices do not always indicate delivery dates.  Agencies should complete a "Receiving Report" or otherwise document the date goods or services are received.  </w:t>
      </w:r>
      <w:r w:rsidR="00CE1C4E">
        <w:rPr>
          <w:szCs w:val="24"/>
        </w:rPr>
        <w:t xml:space="preserve">SCEIS </w:t>
      </w:r>
      <w:r w:rsidR="00CE1C4E" w:rsidRPr="001A3D9E">
        <w:rPr>
          <w:szCs w:val="24"/>
        </w:rPr>
        <w:t>functionality provides a location for this.</w:t>
      </w:r>
    </w:p>
    <w:p w14:paraId="267303FD" w14:textId="35B33842" w:rsidR="00CE1C4E" w:rsidRPr="001A3D9E" w:rsidRDefault="00CE1C4E" w:rsidP="00CE1C4E">
      <w:pPr>
        <w:rPr>
          <w:szCs w:val="24"/>
        </w:rPr>
      </w:pPr>
      <w:r w:rsidRPr="001A3D9E">
        <w:rPr>
          <w:szCs w:val="24"/>
        </w:rPr>
        <w:t>An encumbrance is an obligation for payment to a vendor upon deliver</w:t>
      </w:r>
      <w:r w:rsidR="005E1098">
        <w:rPr>
          <w:szCs w:val="24"/>
        </w:rPr>
        <w:t>y</w:t>
      </w:r>
      <w:r w:rsidRPr="001A3D9E">
        <w:rPr>
          <w:szCs w:val="24"/>
        </w:rPr>
        <w:t>.  When delivery occurs</w:t>
      </w:r>
      <w:r w:rsidR="00E17F2B">
        <w:rPr>
          <w:szCs w:val="24"/>
        </w:rPr>
        <w:t>,</w:t>
      </w:r>
      <w:r w:rsidRPr="001A3D9E">
        <w:rPr>
          <w:szCs w:val="24"/>
        </w:rPr>
        <w:t xml:space="preserve"> the encumbrance becomes a liability.  Agencies are not required to record encumbrances during the year.  GAAP states: "Encumbrances outstanding at year</w:t>
      </w:r>
      <w:r w:rsidRPr="001A3D9E">
        <w:rPr>
          <w:szCs w:val="24"/>
        </w:rPr>
        <w:noBreakHyphen/>
        <w:t>end do not constitute expenditures or liabilities."</w:t>
      </w:r>
      <w:r w:rsidRPr="001A3D9E">
        <w:rPr>
          <w:rStyle w:val="FootnoteReference"/>
          <w:szCs w:val="24"/>
        </w:rPr>
        <w:footnoteReference w:id="41"/>
      </w:r>
      <w:r w:rsidRPr="001A3D9E">
        <w:rPr>
          <w:szCs w:val="24"/>
        </w:rPr>
        <w:t xml:space="preserve">  Encumbrances should NOT be reported in the reporting package.  </w:t>
      </w:r>
      <w:r w:rsidR="0098709E">
        <w:rPr>
          <w:szCs w:val="24"/>
        </w:rPr>
        <w:t>Encumbrances should be reviewed at year-end to ensure budget encumbered is appropriate.</w:t>
      </w:r>
    </w:p>
    <w:p w14:paraId="256CBDAE" w14:textId="77777777" w:rsidR="00CE1C4E" w:rsidRPr="001A3D9E" w:rsidRDefault="00CE1C4E" w:rsidP="006E09D9">
      <w:pPr>
        <w:pStyle w:val="Heading3"/>
      </w:pPr>
      <w:bookmarkStart w:id="291" w:name="_Toc296247835"/>
      <w:bookmarkStart w:id="292" w:name="_Toc166149281"/>
      <w:r w:rsidRPr="001A3D9E">
        <w:lastRenderedPageBreak/>
        <w:t xml:space="preserve">Identification </w:t>
      </w:r>
      <w:r>
        <w:t>and Recognition o</w:t>
      </w:r>
      <w:r w:rsidRPr="001A3D9E">
        <w:t>f Liabilities</w:t>
      </w:r>
      <w:bookmarkEnd w:id="291"/>
      <w:bookmarkEnd w:id="292"/>
    </w:p>
    <w:p w14:paraId="57B57B99" w14:textId="7623A1F8" w:rsidR="00CE1C4E" w:rsidRPr="001A3D9E" w:rsidRDefault="00CE1C4E" w:rsidP="00CE1C4E">
      <w:pPr>
        <w:pStyle w:val="Bullet10"/>
        <w:spacing w:before="80"/>
        <w:ind w:left="0" w:firstLine="0"/>
        <w:rPr>
          <w:szCs w:val="24"/>
        </w:rPr>
      </w:pPr>
      <w:r w:rsidRPr="001A3D9E">
        <w:rPr>
          <w:szCs w:val="24"/>
        </w:rPr>
        <w:t>Agency Directors and finance personnel are responsible for designing daily operational processes and procedures for the recording transactions in the agency</w:t>
      </w:r>
      <w:r>
        <w:rPr>
          <w:szCs w:val="24"/>
        </w:rPr>
        <w:t>’s</w:t>
      </w:r>
      <w:r w:rsidRPr="001A3D9E">
        <w:rPr>
          <w:szCs w:val="24"/>
        </w:rPr>
        <w:t xml:space="preserve"> </w:t>
      </w:r>
      <w:r>
        <w:rPr>
          <w:szCs w:val="24"/>
        </w:rPr>
        <w:t xml:space="preserve">accounting </w:t>
      </w:r>
      <w:r w:rsidR="005E1098">
        <w:rPr>
          <w:szCs w:val="24"/>
        </w:rPr>
        <w:t>system</w:t>
      </w:r>
      <w:r w:rsidRPr="001A3D9E">
        <w:rPr>
          <w:szCs w:val="24"/>
        </w:rPr>
        <w:t xml:space="preserve">.  </w:t>
      </w:r>
      <w:r>
        <w:rPr>
          <w:szCs w:val="24"/>
        </w:rPr>
        <w:t xml:space="preserve">Transactions in accordance with </w:t>
      </w:r>
      <w:r w:rsidRPr="001A3D9E">
        <w:rPr>
          <w:szCs w:val="24"/>
        </w:rPr>
        <w:t xml:space="preserve">GAAP are required to be reported to the Comptroller General's Office annually by the reporting deadlines established.  This reporting package is provided to assist the </w:t>
      </w:r>
      <w:r w:rsidR="0098709E">
        <w:rPr>
          <w:szCs w:val="24"/>
        </w:rPr>
        <w:t xml:space="preserve">Comptroller General's Office </w:t>
      </w:r>
      <w:r w:rsidRPr="001A3D9E">
        <w:rPr>
          <w:szCs w:val="24"/>
        </w:rPr>
        <w:t>collect and report information required to publish the statewide A</w:t>
      </w:r>
      <w:r w:rsidR="005E0E8A">
        <w:rPr>
          <w:szCs w:val="24"/>
        </w:rPr>
        <w:t>C</w:t>
      </w:r>
      <w:r w:rsidRPr="001A3D9E">
        <w:rPr>
          <w:szCs w:val="24"/>
        </w:rPr>
        <w:t>FR.</w:t>
      </w:r>
    </w:p>
    <w:p w14:paraId="6853900B" w14:textId="77777777" w:rsidR="00CE1C4E" w:rsidRPr="001A3D9E" w:rsidRDefault="00CE1C4E" w:rsidP="00CE1C4E">
      <w:pPr>
        <w:pStyle w:val="Bullet10"/>
        <w:ind w:left="0" w:firstLine="0"/>
        <w:rPr>
          <w:szCs w:val="24"/>
        </w:rPr>
      </w:pPr>
      <w:r w:rsidRPr="001A3D9E">
        <w:rPr>
          <w:szCs w:val="24"/>
        </w:rPr>
        <w:t xml:space="preserve">Agency finance personnel who deal with the daily transactions of the operation are in the best position to identify all known and anticipated liabilities as of year-end.  As a best practice and to support effective internal controls, a </w:t>
      </w:r>
      <w:r w:rsidR="0098709E">
        <w:rPr>
          <w:szCs w:val="24"/>
        </w:rPr>
        <w:t xml:space="preserve">person who </w:t>
      </w:r>
      <w:r w:rsidR="0098709E" w:rsidRPr="001A3D9E">
        <w:rPr>
          <w:szCs w:val="24"/>
        </w:rPr>
        <w:t>super</w:t>
      </w:r>
      <w:r w:rsidR="0098709E">
        <w:rPr>
          <w:szCs w:val="24"/>
        </w:rPr>
        <w:t>v</w:t>
      </w:r>
      <w:r w:rsidR="0098709E" w:rsidRPr="001A3D9E">
        <w:rPr>
          <w:szCs w:val="24"/>
        </w:rPr>
        <w:t>i</w:t>
      </w:r>
      <w:r w:rsidR="0098709E">
        <w:rPr>
          <w:szCs w:val="24"/>
        </w:rPr>
        <w:t>ses</w:t>
      </w:r>
      <w:r w:rsidR="0098709E" w:rsidRPr="001A3D9E">
        <w:rPr>
          <w:szCs w:val="24"/>
        </w:rPr>
        <w:t xml:space="preserve"> </w:t>
      </w:r>
      <w:r w:rsidRPr="001A3D9E">
        <w:rPr>
          <w:szCs w:val="24"/>
        </w:rPr>
        <w:t>the person identifying the liabilities should review the information for completeness and accuracy.</w:t>
      </w:r>
    </w:p>
    <w:p w14:paraId="68C9F2AD" w14:textId="77777777" w:rsidR="00CE1C4E" w:rsidRPr="001A3D9E" w:rsidRDefault="00CE1C4E" w:rsidP="00CE1C4E">
      <w:pPr>
        <w:pStyle w:val="Bullet10"/>
        <w:keepNext/>
        <w:ind w:left="0" w:firstLine="0"/>
        <w:rPr>
          <w:szCs w:val="24"/>
        </w:rPr>
      </w:pPr>
      <w:r w:rsidRPr="001A3D9E">
        <w:rPr>
          <w:szCs w:val="24"/>
        </w:rPr>
        <w:t xml:space="preserve">The following are suggested methods for accumulating and monitoring the transactions and amounts identified.  It is recommended that more than one </w:t>
      </w:r>
      <w:r w:rsidR="0098709E">
        <w:rPr>
          <w:szCs w:val="24"/>
        </w:rPr>
        <w:t xml:space="preserve">of the following suggested methods be </w:t>
      </w:r>
      <w:r w:rsidRPr="001A3D9E">
        <w:rPr>
          <w:szCs w:val="24"/>
        </w:rPr>
        <w:t>utilized for effective internal controls</w:t>
      </w:r>
      <w:r>
        <w:rPr>
          <w:szCs w:val="24"/>
        </w:rPr>
        <w:t xml:space="preserve"> of the Agency designed process</w:t>
      </w:r>
      <w:r w:rsidRPr="001A3D9E">
        <w:rPr>
          <w:szCs w:val="24"/>
        </w:rPr>
        <w:t>:</w:t>
      </w:r>
    </w:p>
    <w:p w14:paraId="266FBA48" w14:textId="77777777" w:rsidR="000F61E3" w:rsidRDefault="000F61E3" w:rsidP="005C2F33">
      <w:pPr>
        <w:pStyle w:val="Bullet10"/>
        <w:keepLines/>
        <w:numPr>
          <w:ilvl w:val="0"/>
          <w:numId w:val="24"/>
        </w:numPr>
        <w:spacing w:before="60" w:after="60"/>
        <w:rPr>
          <w:szCs w:val="24"/>
        </w:rPr>
      </w:pPr>
      <w:r>
        <w:rPr>
          <w:szCs w:val="24"/>
        </w:rPr>
        <w:t>Indicate</w:t>
      </w:r>
      <w:r w:rsidRPr="001A3D9E">
        <w:rPr>
          <w:szCs w:val="24"/>
        </w:rPr>
        <w:t xml:space="preserve"> “PRIOR YEAR</w:t>
      </w:r>
      <w:r w:rsidR="00BD1D2D">
        <w:rPr>
          <w:szCs w:val="24"/>
        </w:rPr>
        <w:t xml:space="preserve"> PAYABLE” in the header t</w:t>
      </w:r>
      <w:r w:rsidRPr="001A3D9E">
        <w:rPr>
          <w:szCs w:val="24"/>
        </w:rPr>
        <w:t>ext o</w:t>
      </w:r>
      <w:r>
        <w:rPr>
          <w:szCs w:val="24"/>
        </w:rPr>
        <w:t>f the transaction when processing</w:t>
      </w:r>
      <w:r w:rsidRPr="001A3D9E">
        <w:rPr>
          <w:szCs w:val="24"/>
        </w:rPr>
        <w:t xml:space="preserve"> </w:t>
      </w:r>
      <w:r w:rsidR="00DF7740">
        <w:rPr>
          <w:szCs w:val="24"/>
        </w:rPr>
        <w:t xml:space="preserve">invoices for payment during </w:t>
      </w:r>
      <w:r w:rsidR="00016821">
        <w:rPr>
          <w:szCs w:val="24"/>
        </w:rPr>
        <w:t>the new fiscal year</w:t>
      </w:r>
      <w:r w:rsidR="00DF7740">
        <w:rPr>
          <w:szCs w:val="24"/>
        </w:rPr>
        <w:t xml:space="preserve"> </w:t>
      </w:r>
      <w:r w:rsidR="00016821">
        <w:rPr>
          <w:szCs w:val="24"/>
        </w:rPr>
        <w:t xml:space="preserve">(primarily </w:t>
      </w:r>
      <w:r w:rsidR="00016821" w:rsidRPr="001A3D9E">
        <w:rPr>
          <w:szCs w:val="24"/>
        </w:rPr>
        <w:t>July and August</w:t>
      </w:r>
      <w:r w:rsidR="00016821">
        <w:rPr>
          <w:szCs w:val="24"/>
        </w:rPr>
        <w:t xml:space="preserve">) </w:t>
      </w:r>
      <w:r w:rsidRPr="001A3D9E">
        <w:rPr>
          <w:szCs w:val="24"/>
        </w:rPr>
        <w:t>through SCEIS.  Please note th</w:t>
      </w:r>
      <w:r>
        <w:rPr>
          <w:szCs w:val="24"/>
        </w:rPr>
        <w:t xml:space="preserve">at with this option modifying </w:t>
      </w:r>
      <w:r w:rsidRPr="001A3D9E">
        <w:rPr>
          <w:szCs w:val="24"/>
        </w:rPr>
        <w:t xml:space="preserve">the </w:t>
      </w:r>
      <w:r>
        <w:rPr>
          <w:szCs w:val="24"/>
        </w:rPr>
        <w:t xml:space="preserve">beginning of the </w:t>
      </w:r>
      <w:r w:rsidRPr="001A3D9E">
        <w:rPr>
          <w:szCs w:val="24"/>
        </w:rPr>
        <w:t xml:space="preserve">phrase </w:t>
      </w:r>
      <w:r>
        <w:rPr>
          <w:szCs w:val="24"/>
        </w:rPr>
        <w:t xml:space="preserve">will </w:t>
      </w:r>
      <w:r w:rsidR="00DF7740">
        <w:rPr>
          <w:szCs w:val="24"/>
        </w:rPr>
        <w:t xml:space="preserve">not </w:t>
      </w:r>
      <w:r w:rsidR="00DF7740" w:rsidRPr="000F61E3">
        <w:rPr>
          <w:szCs w:val="24"/>
        </w:rPr>
        <w:t>generate</w:t>
      </w:r>
      <w:r w:rsidRPr="000F61E3">
        <w:rPr>
          <w:szCs w:val="24"/>
        </w:rPr>
        <w:t xml:space="preserve"> report information accurately.</w:t>
      </w:r>
      <w:r>
        <w:rPr>
          <w:szCs w:val="24"/>
        </w:rPr>
        <w:t xml:space="preserve"> Additional details may be added to the end of the phrase only. </w:t>
      </w:r>
      <w:r w:rsidR="00DF7740">
        <w:rPr>
          <w:szCs w:val="24"/>
        </w:rPr>
        <w:t xml:space="preserve">SCEIS will provide </w:t>
      </w:r>
      <w:r w:rsidR="00DF7740" w:rsidRPr="00DF7740">
        <w:rPr>
          <w:szCs w:val="24"/>
        </w:rPr>
        <w:t xml:space="preserve">Yearend </w:t>
      </w:r>
      <w:proofErr w:type="spellStart"/>
      <w:r w:rsidR="00DF7740" w:rsidRPr="00DF7740">
        <w:rPr>
          <w:szCs w:val="24"/>
        </w:rPr>
        <w:t>Rptg</w:t>
      </w:r>
      <w:proofErr w:type="spellEnd"/>
      <w:r w:rsidR="00DF7740" w:rsidRPr="00DF7740">
        <w:rPr>
          <w:szCs w:val="24"/>
        </w:rPr>
        <w:t xml:space="preserve"> - Prior Year Payables repor</w:t>
      </w:r>
      <w:r w:rsidR="00DF7740">
        <w:rPr>
          <w:szCs w:val="24"/>
        </w:rPr>
        <w:t>t</w:t>
      </w:r>
      <w:r w:rsidR="00016821">
        <w:rPr>
          <w:szCs w:val="24"/>
        </w:rPr>
        <w:t>s</w:t>
      </w:r>
      <w:r w:rsidR="00DF7740">
        <w:rPr>
          <w:szCs w:val="24"/>
        </w:rPr>
        <w:t xml:space="preserve"> at the beginning of September </w:t>
      </w:r>
      <w:r w:rsidR="00A83D3F">
        <w:rPr>
          <w:szCs w:val="24"/>
        </w:rPr>
        <w:t>to assist your agency in completing this reporting package</w:t>
      </w:r>
      <w:r>
        <w:rPr>
          <w:szCs w:val="24"/>
        </w:rPr>
        <w:t>.</w:t>
      </w:r>
      <w:r w:rsidR="00BD1D2D">
        <w:rPr>
          <w:szCs w:val="24"/>
        </w:rPr>
        <w:t xml:space="preserve"> </w:t>
      </w:r>
      <w:r w:rsidR="00BD1D2D" w:rsidRPr="00BD1D2D">
        <w:rPr>
          <w:szCs w:val="24"/>
        </w:rPr>
        <w:t>The reports provided are based on the header text of current year expenditures. Actual payables should be reported on th</w:t>
      </w:r>
      <w:r w:rsidR="008E4210">
        <w:rPr>
          <w:szCs w:val="24"/>
        </w:rPr>
        <w:t>e reporting package</w:t>
      </w:r>
      <w:r w:rsidR="00BD1D2D" w:rsidRPr="00BD1D2D">
        <w:rPr>
          <w:szCs w:val="24"/>
        </w:rPr>
        <w:t xml:space="preserve"> regardless of what appears on the reports.</w:t>
      </w:r>
    </w:p>
    <w:p w14:paraId="274A110F" w14:textId="77777777" w:rsidR="00CE1C4E" w:rsidRPr="001A3D9E" w:rsidRDefault="00CE1C4E" w:rsidP="005C2F33">
      <w:pPr>
        <w:pStyle w:val="Bullet10"/>
        <w:numPr>
          <w:ilvl w:val="0"/>
          <w:numId w:val="24"/>
        </w:numPr>
        <w:spacing w:before="60" w:after="60"/>
        <w:rPr>
          <w:szCs w:val="24"/>
        </w:rPr>
      </w:pPr>
      <w:r w:rsidRPr="001A3D9E">
        <w:rPr>
          <w:szCs w:val="24"/>
        </w:rPr>
        <w:t xml:space="preserve">As invoices are processed for payment </w:t>
      </w:r>
      <w:r w:rsidR="00016821">
        <w:rPr>
          <w:szCs w:val="24"/>
        </w:rPr>
        <w:t xml:space="preserve">during the new fiscal year (primarily </w:t>
      </w:r>
      <w:r w:rsidR="00016821" w:rsidRPr="001A3D9E">
        <w:rPr>
          <w:szCs w:val="24"/>
        </w:rPr>
        <w:t>July and August</w:t>
      </w:r>
      <w:r w:rsidR="00016821">
        <w:rPr>
          <w:szCs w:val="24"/>
        </w:rPr>
        <w:t>)</w:t>
      </w:r>
      <w:r w:rsidRPr="001A3D9E">
        <w:rPr>
          <w:szCs w:val="24"/>
        </w:rPr>
        <w:t>, examine each invoice to identify</w:t>
      </w:r>
      <w:r w:rsidR="000F61E3">
        <w:rPr>
          <w:szCs w:val="24"/>
        </w:rPr>
        <w:t xml:space="preserve"> </w:t>
      </w:r>
      <w:r w:rsidR="000F61E3" w:rsidRPr="000F61E3">
        <w:rPr>
          <w:szCs w:val="24"/>
        </w:rPr>
        <w:t>transactions for which services/goods were received prior to June 30 but payment was not processed until after that date.</w:t>
      </w:r>
      <w:r w:rsidRPr="001A3D9E">
        <w:rPr>
          <w:szCs w:val="24"/>
        </w:rPr>
        <w:t xml:space="preserve"> Record the details of the transaction (in sufficient detail for independent review and audit) on a spreadsheet.  A shared spreadsheet may be maintained for agencies with several individuals processing </w:t>
      </w:r>
      <w:r w:rsidR="000F61E3">
        <w:rPr>
          <w:szCs w:val="24"/>
        </w:rPr>
        <w:t>invoices</w:t>
      </w:r>
      <w:r w:rsidRPr="001A3D9E">
        <w:rPr>
          <w:szCs w:val="24"/>
        </w:rPr>
        <w:t>.</w:t>
      </w:r>
    </w:p>
    <w:p w14:paraId="5F7D2911" w14:textId="77777777" w:rsidR="00CE1C4E" w:rsidRPr="001A3D9E" w:rsidRDefault="00CE1C4E" w:rsidP="005C2F33">
      <w:pPr>
        <w:pStyle w:val="Bullet10"/>
        <w:numPr>
          <w:ilvl w:val="0"/>
          <w:numId w:val="24"/>
        </w:numPr>
        <w:spacing w:before="60" w:after="60"/>
        <w:rPr>
          <w:szCs w:val="24"/>
        </w:rPr>
      </w:pPr>
      <w:r w:rsidRPr="001A3D9E">
        <w:rPr>
          <w:szCs w:val="24"/>
        </w:rPr>
        <w:t xml:space="preserve">Obtain a listing of the paid transactions </w:t>
      </w:r>
      <w:r w:rsidR="00016821">
        <w:rPr>
          <w:szCs w:val="24"/>
        </w:rPr>
        <w:t xml:space="preserve">during the new fiscal year (primarily </w:t>
      </w:r>
      <w:r w:rsidR="00016821" w:rsidRPr="001A3D9E">
        <w:rPr>
          <w:szCs w:val="24"/>
        </w:rPr>
        <w:t>July and August</w:t>
      </w:r>
      <w:r w:rsidR="00016821">
        <w:rPr>
          <w:szCs w:val="24"/>
        </w:rPr>
        <w:t xml:space="preserve">) </w:t>
      </w:r>
      <w:r w:rsidRPr="001A3D9E">
        <w:rPr>
          <w:szCs w:val="24"/>
        </w:rPr>
        <w:t>from S</w:t>
      </w:r>
      <w:r w:rsidR="003B09FB">
        <w:rPr>
          <w:szCs w:val="24"/>
        </w:rPr>
        <w:t xml:space="preserve">CEIS and </w:t>
      </w:r>
      <w:r w:rsidRPr="001A3D9E">
        <w:rPr>
          <w:szCs w:val="24"/>
        </w:rPr>
        <w:t>examin</w:t>
      </w:r>
      <w:r w:rsidR="003B09FB">
        <w:rPr>
          <w:szCs w:val="24"/>
        </w:rPr>
        <w:t>e</w:t>
      </w:r>
      <w:r w:rsidRPr="001A3D9E">
        <w:rPr>
          <w:szCs w:val="24"/>
        </w:rPr>
        <w:t xml:space="preserve"> supporting documentation of the transaction</w:t>
      </w:r>
      <w:r w:rsidR="006B0826">
        <w:rPr>
          <w:szCs w:val="24"/>
        </w:rPr>
        <w:t>s retroactively to</w:t>
      </w:r>
      <w:r w:rsidRPr="001A3D9E">
        <w:rPr>
          <w:szCs w:val="24"/>
        </w:rPr>
        <w:t xml:space="preserve"> identify </w:t>
      </w:r>
      <w:r w:rsidR="006B0826" w:rsidRPr="006B0826">
        <w:rPr>
          <w:szCs w:val="24"/>
        </w:rPr>
        <w:t>transactions for which services/goods were received prior to June 30 but payment was not processed until after that date</w:t>
      </w:r>
      <w:r w:rsidRPr="001A3D9E">
        <w:rPr>
          <w:szCs w:val="24"/>
        </w:rPr>
        <w:t xml:space="preserve">.  </w:t>
      </w:r>
    </w:p>
    <w:p w14:paraId="5F9D48FD" w14:textId="77777777" w:rsidR="00CE1C4E" w:rsidRPr="001A3D9E" w:rsidRDefault="006B0826" w:rsidP="005C2F33">
      <w:pPr>
        <w:pStyle w:val="Bullet10"/>
        <w:keepLines/>
        <w:numPr>
          <w:ilvl w:val="0"/>
          <w:numId w:val="24"/>
        </w:numPr>
        <w:spacing w:before="60" w:after="60"/>
        <w:ind w:left="792"/>
        <w:rPr>
          <w:szCs w:val="24"/>
        </w:rPr>
      </w:pPr>
      <w:r>
        <w:rPr>
          <w:szCs w:val="24"/>
        </w:rPr>
        <w:t>D</w:t>
      </w:r>
      <w:r w:rsidR="00CE1C4E" w:rsidRPr="001A3D9E">
        <w:rPr>
          <w:szCs w:val="24"/>
        </w:rPr>
        <w:t xml:space="preserve">ocument </w:t>
      </w:r>
      <w:r>
        <w:rPr>
          <w:szCs w:val="24"/>
        </w:rPr>
        <w:t>a</w:t>
      </w:r>
      <w:r w:rsidR="004078BD" w:rsidRPr="001A3D9E">
        <w:rPr>
          <w:szCs w:val="24"/>
        </w:rPr>
        <w:t xml:space="preserve"> </w:t>
      </w:r>
      <w:r w:rsidR="00CE1C4E" w:rsidRPr="001A3D9E">
        <w:rPr>
          <w:szCs w:val="24"/>
        </w:rPr>
        <w:t>discussion with all individuals with decision making authority to identify any contracts for services and construction contracts which were not fully paid as of year-end.  Obtain a listing of paid transactions as of June 30 to the vendor for the contract.  Compare the contract amount, percent of completion, and amounts paid to determine any amounts outstanding</w:t>
      </w:r>
      <w:r w:rsidR="008E71C1">
        <w:rPr>
          <w:szCs w:val="24"/>
        </w:rPr>
        <w:t xml:space="preserve"> for recognition of a payable. </w:t>
      </w:r>
    </w:p>
    <w:p w14:paraId="30060D9E" w14:textId="77777777" w:rsidR="00CE1C4E" w:rsidRPr="001A3D9E" w:rsidRDefault="00CE1C4E" w:rsidP="005C2F33">
      <w:pPr>
        <w:pStyle w:val="Bullet10"/>
        <w:numPr>
          <w:ilvl w:val="0"/>
          <w:numId w:val="24"/>
        </w:numPr>
        <w:spacing w:before="60" w:after="60"/>
        <w:rPr>
          <w:szCs w:val="24"/>
        </w:rPr>
      </w:pPr>
      <w:r w:rsidRPr="001A3D9E">
        <w:rPr>
          <w:szCs w:val="24"/>
        </w:rPr>
        <w:t xml:space="preserve">Estimate amounts owed to vendors for which invoices have not been received. Information utilized to perform the estimate should be retained and should be based on realistic expectations.  </w:t>
      </w:r>
    </w:p>
    <w:p w14:paraId="73453BF7" w14:textId="77777777" w:rsidR="00CE1C4E" w:rsidRPr="001A3D9E" w:rsidRDefault="00CE1C4E" w:rsidP="005C2F33">
      <w:pPr>
        <w:pStyle w:val="Bullet10"/>
        <w:numPr>
          <w:ilvl w:val="0"/>
          <w:numId w:val="24"/>
        </w:numPr>
        <w:spacing w:before="60"/>
        <w:rPr>
          <w:szCs w:val="24"/>
        </w:rPr>
      </w:pPr>
      <w:r w:rsidRPr="001A3D9E">
        <w:rPr>
          <w:szCs w:val="24"/>
        </w:rPr>
        <w:t>Examine the activity for recurring monthly charges to determine if twelve months of activity is reflected.  The use of an estimate for the missing months may be necessary.</w:t>
      </w:r>
    </w:p>
    <w:p w14:paraId="421A5D34" w14:textId="77777777" w:rsidR="006C29FE" w:rsidRDefault="00CE1C4E" w:rsidP="00CE1C4E">
      <w:pPr>
        <w:pStyle w:val="Bullet10"/>
        <w:ind w:left="0" w:firstLine="0"/>
        <w:rPr>
          <w:szCs w:val="24"/>
        </w:rPr>
      </w:pPr>
      <w:r w:rsidRPr="001A3D9E">
        <w:rPr>
          <w:szCs w:val="24"/>
        </w:rPr>
        <w:lastRenderedPageBreak/>
        <w:t>The Decision tree in Exhibit 3.12</w:t>
      </w:r>
      <w:r w:rsidR="00B665C8">
        <w:rPr>
          <w:szCs w:val="24"/>
        </w:rPr>
        <w:t xml:space="preserve"> </w:t>
      </w:r>
      <w:r w:rsidRPr="001A3D9E">
        <w:rPr>
          <w:szCs w:val="24"/>
        </w:rPr>
        <w:t xml:space="preserve">(A) has been provided to assist in determining </w:t>
      </w:r>
      <w:r w:rsidR="006C29FE">
        <w:rPr>
          <w:szCs w:val="24"/>
        </w:rPr>
        <w:t xml:space="preserve">if the transaction represents an </w:t>
      </w:r>
      <w:proofErr w:type="gramStart"/>
      <w:r w:rsidR="006C29FE">
        <w:rPr>
          <w:szCs w:val="24"/>
        </w:rPr>
        <w:t>accounts</w:t>
      </w:r>
      <w:proofErr w:type="gramEnd"/>
      <w:r w:rsidR="006C29FE">
        <w:rPr>
          <w:szCs w:val="24"/>
        </w:rPr>
        <w:t xml:space="preserve"> payable at June 30 and should be included in the accounts payable reporting package.</w:t>
      </w:r>
    </w:p>
    <w:p w14:paraId="08767214" w14:textId="77777777" w:rsidR="00A83D3F" w:rsidRDefault="00CE1C4E" w:rsidP="00CE1C4E">
      <w:pPr>
        <w:pStyle w:val="Bullet10"/>
        <w:ind w:left="0" w:firstLine="0"/>
        <w:rPr>
          <w:szCs w:val="24"/>
        </w:rPr>
      </w:pPr>
      <w:r w:rsidRPr="001A3D9E">
        <w:rPr>
          <w:szCs w:val="24"/>
        </w:rPr>
        <w:t xml:space="preserve">After the </w:t>
      </w:r>
      <w:r w:rsidR="006C29FE">
        <w:rPr>
          <w:szCs w:val="24"/>
        </w:rPr>
        <w:t>payables</w:t>
      </w:r>
      <w:r w:rsidRPr="001A3D9E">
        <w:rPr>
          <w:szCs w:val="24"/>
        </w:rPr>
        <w:t xml:space="preserve"> have been identified and a valuation has been determined, </w:t>
      </w:r>
      <w:r w:rsidR="00A83D3F">
        <w:rPr>
          <w:szCs w:val="24"/>
        </w:rPr>
        <w:t>the payables must be separated into the categories listed on the reporting package.  A classification threshold of $10,000 may be used</w:t>
      </w:r>
      <w:r w:rsidR="00356F84">
        <w:rPr>
          <w:szCs w:val="24"/>
        </w:rPr>
        <w:t xml:space="preserve">.  This classification threshold allows agencies </w:t>
      </w:r>
      <w:r w:rsidR="00356F84" w:rsidRPr="00356F84">
        <w:rPr>
          <w:szCs w:val="24"/>
        </w:rPr>
        <w:t>to classify any payable under $10,000 as a vendor payable</w:t>
      </w:r>
      <w:r w:rsidR="00356F84">
        <w:rPr>
          <w:szCs w:val="24"/>
        </w:rPr>
        <w:t xml:space="preserve">.  All payables need to be reported but only those payables over $10,000 must be separated into the other categories listed on the reporting package.  The vendor payables category will include all payables under $10,000 and those payables over $10,000 that are due to a vendor. </w:t>
      </w:r>
    </w:p>
    <w:p w14:paraId="4303291B" w14:textId="77777777" w:rsidR="00CE1C4E" w:rsidRPr="001A3D9E" w:rsidRDefault="00CE1C4E" w:rsidP="00CE1C4E">
      <w:pPr>
        <w:pStyle w:val="Bullet10"/>
        <w:ind w:left="0" w:firstLine="0"/>
        <w:rPr>
          <w:szCs w:val="24"/>
        </w:rPr>
      </w:pPr>
      <w:r w:rsidRPr="001A3D9E">
        <w:rPr>
          <w:szCs w:val="24"/>
        </w:rPr>
        <w:t>Information obtained from the preparation of this reporting package can affect the information reported in the Capital Assets reporting package.  This package should be completed prior to submission of the Capital Asset reporting package.</w:t>
      </w:r>
    </w:p>
    <w:p w14:paraId="6B4CC15B" w14:textId="19FA07AD" w:rsidR="00CE1C4E" w:rsidRPr="001A3D9E" w:rsidRDefault="00CE1C4E" w:rsidP="00CE1C4E">
      <w:pPr>
        <w:pStyle w:val="Bullet10"/>
        <w:ind w:left="0" w:firstLine="0"/>
        <w:rPr>
          <w:szCs w:val="24"/>
        </w:rPr>
      </w:pPr>
      <w:r w:rsidRPr="001A3D9E">
        <w:rPr>
          <w:szCs w:val="24"/>
        </w:rPr>
        <w:t xml:space="preserve">Any transaction identified through procedures after the submission of the reporting package MUST be communicated to the Comptroller General's Office for </w:t>
      </w:r>
      <w:r w:rsidR="00464CBE">
        <w:rPr>
          <w:szCs w:val="24"/>
        </w:rPr>
        <w:t xml:space="preserve">evaluation of the need for </w:t>
      </w:r>
      <w:r w:rsidRPr="001A3D9E">
        <w:rPr>
          <w:szCs w:val="24"/>
        </w:rPr>
        <w:t xml:space="preserve">inclusion in the </w:t>
      </w:r>
      <w:r w:rsidR="00464CBE">
        <w:rPr>
          <w:szCs w:val="24"/>
        </w:rPr>
        <w:t>A</w:t>
      </w:r>
      <w:r w:rsidR="005E0E8A">
        <w:rPr>
          <w:szCs w:val="24"/>
        </w:rPr>
        <w:t>C</w:t>
      </w:r>
      <w:r w:rsidR="00464CBE">
        <w:rPr>
          <w:szCs w:val="24"/>
        </w:rPr>
        <w:t xml:space="preserve">FR. </w:t>
      </w:r>
      <w:r w:rsidR="008E4210">
        <w:rPr>
          <w:szCs w:val="24"/>
        </w:rPr>
        <w:t>The Subsequent Events package collects this information on the AP Worksheet.</w:t>
      </w:r>
    </w:p>
    <w:p w14:paraId="7AA2A402" w14:textId="77777777" w:rsidR="00521903" w:rsidRPr="0099749D" w:rsidRDefault="00521903" w:rsidP="00574242">
      <w:pPr>
        <w:rPr>
          <w:szCs w:val="24"/>
        </w:rPr>
      </w:pPr>
    </w:p>
    <w:p w14:paraId="4C7AECEB" w14:textId="77777777" w:rsidR="0012040B" w:rsidRDefault="00CE1C4E" w:rsidP="003B02BA">
      <w:pPr>
        <w:pStyle w:val="Heading2"/>
      </w:pPr>
      <w:bookmarkStart w:id="293" w:name="_Toc296021466"/>
      <w:bookmarkStart w:id="294" w:name="_Toc296021555"/>
      <w:bookmarkStart w:id="295" w:name="_Toc296235447"/>
      <w:bookmarkStart w:id="296" w:name="_Toc296235548"/>
      <w:bookmarkStart w:id="297" w:name="_Toc296247836"/>
      <w:bookmarkStart w:id="298" w:name="_Toc166149282"/>
      <w:r>
        <w:t>Section _.13</w:t>
      </w:r>
      <w:r w:rsidRPr="0099749D">
        <w:t xml:space="preserve"> Litigation</w:t>
      </w:r>
      <w:bookmarkEnd w:id="293"/>
      <w:bookmarkEnd w:id="294"/>
      <w:bookmarkEnd w:id="295"/>
      <w:bookmarkEnd w:id="296"/>
      <w:bookmarkEnd w:id="297"/>
      <w:bookmarkEnd w:id="298"/>
    </w:p>
    <w:p w14:paraId="22DFC785" w14:textId="77777777" w:rsidR="00574242" w:rsidRPr="0099749D" w:rsidRDefault="00574242" w:rsidP="00574242">
      <w:pPr>
        <w:spacing w:before="0"/>
        <w:rPr>
          <w:szCs w:val="24"/>
        </w:rPr>
      </w:pPr>
      <w:r w:rsidRPr="0099749D">
        <w:rPr>
          <w:szCs w:val="24"/>
        </w:rPr>
        <w:t xml:space="preserve">Settled lawsuits that require the State to make future payments or suffer other future losses are liabilities.  GAAP requires the State to show liabilities existing </w:t>
      </w:r>
      <w:proofErr w:type="gramStart"/>
      <w:r w:rsidRPr="0099749D">
        <w:rPr>
          <w:szCs w:val="24"/>
        </w:rPr>
        <w:t>at</w:t>
      </w:r>
      <w:proofErr w:type="gramEnd"/>
      <w:r w:rsidRPr="0099749D">
        <w:rPr>
          <w:szCs w:val="24"/>
        </w:rPr>
        <w:t xml:space="preserve"> June 30 on its financial statements.</w:t>
      </w:r>
    </w:p>
    <w:p w14:paraId="7DF5EC1D" w14:textId="77777777" w:rsidR="00574242" w:rsidRPr="0099749D" w:rsidRDefault="00574242" w:rsidP="00574242">
      <w:pPr>
        <w:spacing w:before="0"/>
        <w:rPr>
          <w:szCs w:val="24"/>
        </w:rPr>
      </w:pPr>
      <w:r w:rsidRPr="0099749D">
        <w:rPr>
          <w:szCs w:val="24"/>
        </w:rPr>
        <w:t xml:space="preserve">Lawsuits that </w:t>
      </w:r>
      <w:proofErr w:type="gramStart"/>
      <w:r w:rsidRPr="0099749D">
        <w:rPr>
          <w:szCs w:val="24"/>
        </w:rPr>
        <w:t>at</w:t>
      </w:r>
      <w:proofErr w:type="gramEnd"/>
      <w:r w:rsidRPr="0099749D">
        <w:rPr>
          <w:szCs w:val="24"/>
        </w:rPr>
        <w:t xml:space="preserve"> June 30 are in progress, appealed, expected to be appealed, and threatened are contingent losses or contingent gains.  The following references define Generally Accepted Accounting Principles (GAAP) for contingencies:</w:t>
      </w:r>
    </w:p>
    <w:p w14:paraId="5E701A95" w14:textId="77777777" w:rsidR="00574242" w:rsidRPr="0099749D" w:rsidRDefault="00574242" w:rsidP="00574242">
      <w:pPr>
        <w:pStyle w:val="Bullet10"/>
        <w:rPr>
          <w:szCs w:val="24"/>
        </w:rPr>
      </w:pPr>
      <w:r w:rsidRPr="0099749D">
        <w:rPr>
          <w:szCs w:val="24"/>
        </w:rPr>
        <w:t>o</w:t>
      </w:r>
      <w:r w:rsidRPr="0099749D">
        <w:rPr>
          <w:szCs w:val="24"/>
        </w:rPr>
        <w:tab/>
        <w:t>Governmental Accounting Standards Board (GASB) Codification Sections 1500.114.  Sections C50.101 through 148 apply to torts.</w:t>
      </w:r>
    </w:p>
    <w:p w14:paraId="0DB89E53" w14:textId="77777777" w:rsidR="00574242" w:rsidRPr="0099749D" w:rsidRDefault="00574242" w:rsidP="00574242">
      <w:pPr>
        <w:pStyle w:val="Bullet10"/>
        <w:rPr>
          <w:szCs w:val="24"/>
        </w:rPr>
      </w:pPr>
      <w:r w:rsidRPr="0099749D">
        <w:rPr>
          <w:szCs w:val="24"/>
        </w:rPr>
        <w:t>o</w:t>
      </w:r>
      <w:r w:rsidRPr="0099749D">
        <w:rPr>
          <w:szCs w:val="24"/>
        </w:rPr>
        <w:tab/>
        <w:t xml:space="preserve">Financial Accounting Standards Board (FASB) Statement 5, "Accounting </w:t>
      </w:r>
      <w:proofErr w:type="gramStart"/>
      <w:r w:rsidRPr="0099749D">
        <w:rPr>
          <w:szCs w:val="24"/>
        </w:rPr>
        <w:t>For</w:t>
      </w:r>
      <w:proofErr w:type="gramEnd"/>
      <w:r w:rsidRPr="0099749D">
        <w:rPr>
          <w:szCs w:val="24"/>
        </w:rPr>
        <w:t xml:space="preserve"> Contingencies" as revised and interpreted</w:t>
      </w:r>
      <w:r w:rsidRPr="0099749D">
        <w:rPr>
          <w:rStyle w:val="FootnoteReference"/>
          <w:szCs w:val="24"/>
        </w:rPr>
        <w:footnoteReference w:id="42"/>
      </w:r>
      <w:r w:rsidRPr="0099749D">
        <w:rPr>
          <w:szCs w:val="24"/>
        </w:rPr>
        <w:t>.</w:t>
      </w:r>
    </w:p>
    <w:p w14:paraId="7E9E819B" w14:textId="77777777" w:rsidR="00574242" w:rsidRPr="0099749D" w:rsidRDefault="00574242" w:rsidP="00574242">
      <w:pPr>
        <w:spacing w:before="0"/>
        <w:rPr>
          <w:szCs w:val="24"/>
        </w:rPr>
      </w:pPr>
      <w:r w:rsidRPr="0099749D">
        <w:rPr>
          <w:szCs w:val="24"/>
        </w:rPr>
        <w:t>Major liabilities and contingencies that arise after June 30 but before the State issues its financial statements are subsequent events.  GAAP relating to subsequent events includes:</w:t>
      </w:r>
    </w:p>
    <w:p w14:paraId="21DF2500" w14:textId="77777777" w:rsidR="00574242" w:rsidRPr="0099749D" w:rsidRDefault="00574242" w:rsidP="00574242">
      <w:pPr>
        <w:pStyle w:val="Bullet10"/>
        <w:spacing w:before="0"/>
        <w:rPr>
          <w:szCs w:val="24"/>
        </w:rPr>
      </w:pPr>
      <w:r w:rsidRPr="0099749D">
        <w:rPr>
          <w:szCs w:val="24"/>
        </w:rPr>
        <w:t>o</w:t>
      </w:r>
      <w:r w:rsidRPr="0099749D">
        <w:rPr>
          <w:szCs w:val="24"/>
        </w:rPr>
        <w:tab/>
        <w:t>Governmental Accounting Standards Board (GASB) Codification Section 2300.106 and C50.148.</w:t>
      </w:r>
    </w:p>
    <w:p w14:paraId="089B3710" w14:textId="77777777" w:rsidR="00574242" w:rsidRPr="0099749D" w:rsidRDefault="00574242" w:rsidP="00574242">
      <w:pPr>
        <w:pStyle w:val="Bullet10"/>
        <w:spacing w:before="0"/>
        <w:rPr>
          <w:szCs w:val="24"/>
        </w:rPr>
      </w:pPr>
      <w:r w:rsidRPr="0099749D">
        <w:rPr>
          <w:szCs w:val="24"/>
        </w:rPr>
        <w:t>o</w:t>
      </w:r>
      <w:r w:rsidRPr="0099749D">
        <w:rPr>
          <w:szCs w:val="24"/>
        </w:rPr>
        <w:tab/>
        <w:t xml:space="preserve">GASB 56 </w:t>
      </w:r>
      <w:r w:rsidRPr="0099749D">
        <w:rPr>
          <w:i/>
          <w:szCs w:val="24"/>
        </w:rPr>
        <w:t xml:space="preserve">Codification of Accounting and Financial Reporting Guidance Contained in the AICPA Statements on Auditing Standards </w:t>
      </w:r>
      <w:r w:rsidRPr="0099749D">
        <w:rPr>
          <w:szCs w:val="24"/>
        </w:rPr>
        <w:t xml:space="preserve">incorporated guidance previously issued as Statements on Auditing Standards (SAS's) and related interpretations as authoritative GASB pronouncements.  </w:t>
      </w:r>
    </w:p>
    <w:p w14:paraId="459C0DEB" w14:textId="77777777" w:rsidR="00574242" w:rsidRPr="0099749D" w:rsidRDefault="00574242" w:rsidP="006E09D9">
      <w:pPr>
        <w:keepNext/>
        <w:spacing w:before="0"/>
        <w:rPr>
          <w:szCs w:val="24"/>
        </w:rPr>
      </w:pPr>
      <w:r w:rsidRPr="0099749D">
        <w:rPr>
          <w:szCs w:val="24"/>
        </w:rPr>
        <w:lastRenderedPageBreak/>
        <w:t>Standards for professional relationships between auditors and attorneys appear in:</w:t>
      </w:r>
    </w:p>
    <w:p w14:paraId="0ECED78D" w14:textId="77777777" w:rsidR="00574242" w:rsidRPr="0099749D" w:rsidRDefault="00574242" w:rsidP="006E09D9">
      <w:pPr>
        <w:pStyle w:val="Bullet10"/>
        <w:keepNext/>
        <w:spacing w:before="0"/>
        <w:rPr>
          <w:szCs w:val="24"/>
        </w:rPr>
      </w:pPr>
      <w:r w:rsidRPr="0099749D">
        <w:rPr>
          <w:szCs w:val="24"/>
        </w:rPr>
        <w:t>o</w:t>
      </w:r>
      <w:r w:rsidRPr="0099749D">
        <w:rPr>
          <w:szCs w:val="24"/>
        </w:rPr>
        <w:tab/>
        <w:t>Statements on Auditing Standards (Section AU 337) issued by the American Institute of Certified Public Accountants.</w:t>
      </w:r>
    </w:p>
    <w:p w14:paraId="3ABACFD0" w14:textId="4AF0BA88" w:rsidR="00615293" w:rsidRDefault="00574242" w:rsidP="0017429F">
      <w:pPr>
        <w:pStyle w:val="Bullet10"/>
        <w:spacing w:before="0"/>
        <w:rPr>
          <w:szCs w:val="24"/>
        </w:rPr>
      </w:pPr>
      <w:r w:rsidRPr="0099749D">
        <w:rPr>
          <w:szCs w:val="24"/>
        </w:rPr>
        <w:t>o</w:t>
      </w:r>
      <w:r w:rsidRPr="0099749D">
        <w:rPr>
          <w:szCs w:val="24"/>
        </w:rPr>
        <w:tab/>
        <w:t xml:space="preserve">American Bar Association Statement of Policy Regarding Lawyers' Responses to Auditors' Requests for Information (approved by the American Bar Association's Board of Governors in December 1975). </w:t>
      </w:r>
    </w:p>
    <w:p w14:paraId="2BC322C0" w14:textId="77777777" w:rsidR="00615293" w:rsidRPr="0099749D" w:rsidRDefault="00615293" w:rsidP="00574242">
      <w:pPr>
        <w:pStyle w:val="Bullet10"/>
        <w:spacing w:before="0"/>
        <w:rPr>
          <w:szCs w:val="24"/>
        </w:rPr>
      </w:pPr>
    </w:p>
    <w:p w14:paraId="7818DE76" w14:textId="77777777" w:rsidR="00574242" w:rsidRPr="00CE1C4E" w:rsidRDefault="00574242" w:rsidP="006E09D9">
      <w:pPr>
        <w:pStyle w:val="Heading3"/>
      </w:pPr>
      <w:bookmarkStart w:id="299" w:name="_Toc296247837"/>
      <w:bookmarkStart w:id="300" w:name="_Toc166149283"/>
      <w:r w:rsidRPr="00CE1C4E">
        <w:t>State Policies</w:t>
      </w:r>
      <w:bookmarkEnd w:id="299"/>
      <w:bookmarkEnd w:id="300"/>
      <w:r w:rsidRPr="00CE1C4E">
        <w:t xml:space="preserve"> </w:t>
      </w:r>
    </w:p>
    <w:p w14:paraId="6D1B5657" w14:textId="685C0C55" w:rsidR="00574242" w:rsidRPr="0099749D" w:rsidRDefault="00574242" w:rsidP="00574242">
      <w:pPr>
        <w:spacing w:before="0"/>
        <w:rPr>
          <w:szCs w:val="24"/>
        </w:rPr>
      </w:pPr>
      <w:r w:rsidRPr="0099749D">
        <w:rPr>
          <w:szCs w:val="24"/>
        </w:rPr>
        <w:t>Based on the above GAAP, the following amounts should be recorded and reported in an agency’s book of record to allow completeness of the State A</w:t>
      </w:r>
      <w:r w:rsidR="005E0E8A">
        <w:rPr>
          <w:szCs w:val="24"/>
        </w:rPr>
        <w:t>C</w:t>
      </w:r>
      <w:r w:rsidRPr="0099749D">
        <w:rPr>
          <w:szCs w:val="24"/>
        </w:rPr>
        <w:t>FR:</w:t>
      </w:r>
    </w:p>
    <w:p w14:paraId="4CCC4303" w14:textId="77777777" w:rsidR="00574242" w:rsidRPr="0099749D" w:rsidRDefault="00574242" w:rsidP="00574242">
      <w:pPr>
        <w:pStyle w:val="Bullet10"/>
        <w:spacing w:before="0"/>
        <w:rPr>
          <w:szCs w:val="24"/>
        </w:rPr>
      </w:pPr>
      <w:r w:rsidRPr="0099749D">
        <w:rPr>
          <w:szCs w:val="24"/>
        </w:rPr>
        <w:t>o</w:t>
      </w:r>
      <w:r w:rsidRPr="0099749D">
        <w:rPr>
          <w:szCs w:val="24"/>
        </w:rPr>
        <w:tab/>
        <w:t xml:space="preserve">A liability </w:t>
      </w:r>
      <w:proofErr w:type="gramStart"/>
      <w:r w:rsidRPr="0099749D">
        <w:rPr>
          <w:szCs w:val="24"/>
        </w:rPr>
        <w:t>at</w:t>
      </w:r>
      <w:proofErr w:type="gramEnd"/>
      <w:r w:rsidRPr="0099749D">
        <w:rPr>
          <w:szCs w:val="24"/>
        </w:rPr>
        <w:t xml:space="preserve"> June 30 in the amount of future payments due for settled lawsuits requiring future payments or other outflow of resources by the State.</w:t>
      </w:r>
    </w:p>
    <w:p w14:paraId="5333AA39" w14:textId="77777777" w:rsidR="00574242" w:rsidRPr="0099749D" w:rsidRDefault="00574242" w:rsidP="00574242">
      <w:pPr>
        <w:pStyle w:val="Bullet10"/>
        <w:spacing w:before="0"/>
        <w:rPr>
          <w:szCs w:val="24"/>
        </w:rPr>
      </w:pPr>
      <w:r w:rsidRPr="0099749D">
        <w:rPr>
          <w:szCs w:val="24"/>
        </w:rPr>
        <w:t>o</w:t>
      </w:r>
      <w:r w:rsidRPr="0099749D">
        <w:rPr>
          <w:szCs w:val="24"/>
        </w:rPr>
        <w:tab/>
        <w:t xml:space="preserve">A liability in the amount of the estimated loss for lawsuits that </w:t>
      </w:r>
      <w:proofErr w:type="gramStart"/>
      <w:r w:rsidRPr="0099749D">
        <w:rPr>
          <w:szCs w:val="24"/>
        </w:rPr>
        <w:t>at</w:t>
      </w:r>
      <w:proofErr w:type="gramEnd"/>
      <w:r w:rsidRPr="0099749D">
        <w:rPr>
          <w:szCs w:val="24"/>
        </w:rPr>
        <w:t xml:space="preserve"> June 30 are in progress, appealed, expected to be appealed, and threatened if, in the attorney's opinion: </w:t>
      </w:r>
    </w:p>
    <w:p w14:paraId="00162846" w14:textId="77777777" w:rsidR="00574242" w:rsidRPr="0099749D" w:rsidRDefault="00574242" w:rsidP="00574242">
      <w:pPr>
        <w:pStyle w:val="Bullet2"/>
        <w:rPr>
          <w:szCs w:val="24"/>
        </w:rPr>
      </w:pPr>
      <w:r w:rsidRPr="0099749D">
        <w:rPr>
          <w:szCs w:val="24"/>
        </w:rPr>
        <w:noBreakHyphen/>
      </w:r>
      <w:r w:rsidRPr="0099749D">
        <w:rPr>
          <w:szCs w:val="24"/>
        </w:rPr>
        <w:noBreakHyphen/>
      </w:r>
      <w:r w:rsidRPr="0099749D">
        <w:rPr>
          <w:szCs w:val="24"/>
        </w:rPr>
        <w:tab/>
        <w:t>A loss to the State is probable</w:t>
      </w:r>
      <w:r w:rsidR="001D3E8E">
        <w:rPr>
          <w:rStyle w:val="FootnoteReference"/>
          <w:szCs w:val="24"/>
        </w:rPr>
        <w:footnoteReference w:id="43"/>
      </w:r>
      <w:r w:rsidRPr="0099749D">
        <w:rPr>
          <w:szCs w:val="24"/>
        </w:rPr>
        <w:t>.</w:t>
      </w:r>
    </w:p>
    <w:p w14:paraId="6D13B78E" w14:textId="77777777" w:rsidR="00574242" w:rsidRPr="0099749D" w:rsidRDefault="00574242" w:rsidP="00574242">
      <w:pPr>
        <w:pStyle w:val="Bullet2"/>
        <w:rPr>
          <w:szCs w:val="24"/>
        </w:rPr>
      </w:pPr>
      <w:r w:rsidRPr="0099749D">
        <w:rPr>
          <w:szCs w:val="24"/>
        </w:rPr>
        <w:noBreakHyphen/>
      </w:r>
      <w:r w:rsidRPr="0099749D">
        <w:rPr>
          <w:szCs w:val="24"/>
        </w:rPr>
        <w:noBreakHyphen/>
      </w:r>
      <w:r w:rsidRPr="0099749D">
        <w:rPr>
          <w:szCs w:val="24"/>
        </w:rPr>
        <w:tab/>
        <w:t>It is practical to estimate the loss amount.</w:t>
      </w:r>
    </w:p>
    <w:p w14:paraId="2875B049" w14:textId="1C010A2D" w:rsidR="00574242" w:rsidRPr="0099749D" w:rsidRDefault="00574242" w:rsidP="00574242">
      <w:pPr>
        <w:spacing w:before="0"/>
        <w:rPr>
          <w:szCs w:val="24"/>
        </w:rPr>
      </w:pPr>
      <w:r w:rsidRPr="0099749D">
        <w:rPr>
          <w:szCs w:val="24"/>
        </w:rPr>
        <w:t>In addition, information relating to the following should be disclosed in the notes of the State A</w:t>
      </w:r>
      <w:r w:rsidR="005E0E8A">
        <w:rPr>
          <w:szCs w:val="24"/>
        </w:rPr>
        <w:t>C</w:t>
      </w:r>
      <w:r w:rsidRPr="0099749D">
        <w:rPr>
          <w:szCs w:val="24"/>
        </w:rPr>
        <w:t>FR:</w:t>
      </w:r>
    </w:p>
    <w:p w14:paraId="45F89EC9" w14:textId="77777777" w:rsidR="00574242" w:rsidRPr="0099749D" w:rsidRDefault="00574242" w:rsidP="00574242">
      <w:pPr>
        <w:pStyle w:val="Bullet10"/>
        <w:spacing w:before="0"/>
        <w:rPr>
          <w:szCs w:val="24"/>
        </w:rPr>
      </w:pPr>
      <w:r w:rsidRPr="0099749D">
        <w:rPr>
          <w:szCs w:val="24"/>
        </w:rPr>
        <w:t>o</w:t>
      </w:r>
      <w:r w:rsidRPr="0099749D">
        <w:rPr>
          <w:szCs w:val="24"/>
        </w:rPr>
        <w:tab/>
        <w:t xml:space="preserve">Data on lawsuits that </w:t>
      </w:r>
      <w:proofErr w:type="gramStart"/>
      <w:r w:rsidRPr="0099749D">
        <w:rPr>
          <w:szCs w:val="24"/>
        </w:rPr>
        <w:t>at</w:t>
      </w:r>
      <w:proofErr w:type="gramEnd"/>
      <w:r w:rsidRPr="0099749D">
        <w:rPr>
          <w:szCs w:val="24"/>
        </w:rPr>
        <w:t xml:space="preserve"> June 30 are in progress, appealed, expected to be appealed, and threatened for which a loss to the State is reasonably possible.</w:t>
      </w:r>
    </w:p>
    <w:p w14:paraId="6DF05CAF" w14:textId="77777777" w:rsidR="00574242" w:rsidRPr="0099749D" w:rsidRDefault="00574242" w:rsidP="00574242">
      <w:pPr>
        <w:pStyle w:val="Bullet10"/>
        <w:spacing w:before="0"/>
        <w:rPr>
          <w:szCs w:val="24"/>
        </w:rPr>
      </w:pPr>
      <w:r w:rsidRPr="0099749D">
        <w:rPr>
          <w:szCs w:val="24"/>
        </w:rPr>
        <w:t>o</w:t>
      </w:r>
      <w:r w:rsidRPr="0099749D">
        <w:rPr>
          <w:szCs w:val="24"/>
        </w:rPr>
        <w:tab/>
        <w:t xml:space="preserve">Data on settled and in progress lawsuits </w:t>
      </w:r>
      <w:proofErr w:type="gramStart"/>
      <w:r w:rsidRPr="0099749D">
        <w:rPr>
          <w:szCs w:val="24"/>
        </w:rPr>
        <w:t>at</w:t>
      </w:r>
      <w:proofErr w:type="gramEnd"/>
      <w:r w:rsidRPr="0099749D">
        <w:rPr>
          <w:szCs w:val="24"/>
        </w:rPr>
        <w:t xml:space="preserve"> June 30 where a gain to the State is probable.</w:t>
      </w:r>
    </w:p>
    <w:p w14:paraId="39209358" w14:textId="77777777" w:rsidR="00574242" w:rsidRPr="0099749D" w:rsidRDefault="00574242" w:rsidP="00574242">
      <w:pPr>
        <w:pStyle w:val="Bullet10"/>
        <w:spacing w:before="0"/>
        <w:rPr>
          <w:szCs w:val="24"/>
        </w:rPr>
      </w:pPr>
      <w:r w:rsidRPr="0099749D">
        <w:rPr>
          <w:szCs w:val="24"/>
        </w:rPr>
        <w:t>o</w:t>
      </w:r>
      <w:r w:rsidRPr="0099749D">
        <w:rPr>
          <w:szCs w:val="24"/>
        </w:rPr>
        <w:tab/>
        <w:t>Major changes in litigation that occur during the subsequent period.</w:t>
      </w:r>
    </w:p>
    <w:p w14:paraId="31C174DB" w14:textId="77777777" w:rsidR="00574242" w:rsidRPr="0099749D" w:rsidRDefault="00574242" w:rsidP="00574242">
      <w:pPr>
        <w:spacing w:before="0"/>
        <w:rPr>
          <w:szCs w:val="24"/>
        </w:rPr>
      </w:pPr>
      <w:r w:rsidRPr="0099749D">
        <w:rPr>
          <w:szCs w:val="24"/>
        </w:rPr>
        <w:t xml:space="preserve">The State will </w:t>
      </w:r>
      <w:r w:rsidRPr="0099749D">
        <w:rPr>
          <w:szCs w:val="24"/>
          <w:u w:val="single"/>
        </w:rPr>
        <w:t>not</w:t>
      </w:r>
      <w:r w:rsidRPr="0099749D">
        <w:rPr>
          <w:szCs w:val="24"/>
        </w:rPr>
        <w:t>:</w:t>
      </w:r>
    </w:p>
    <w:p w14:paraId="65ACBFE3" w14:textId="77777777" w:rsidR="00574242" w:rsidRPr="0099749D" w:rsidRDefault="00574242" w:rsidP="00574242">
      <w:pPr>
        <w:pStyle w:val="Bullet10"/>
        <w:spacing w:before="0"/>
        <w:rPr>
          <w:szCs w:val="24"/>
        </w:rPr>
      </w:pPr>
      <w:r w:rsidRPr="0099749D">
        <w:rPr>
          <w:szCs w:val="24"/>
        </w:rPr>
        <w:t>o</w:t>
      </w:r>
      <w:r w:rsidRPr="0099749D">
        <w:rPr>
          <w:szCs w:val="24"/>
        </w:rPr>
        <w:tab/>
        <w:t xml:space="preserve">Disclose or record liabilities for lawsuits where the chance of loss to the State is remote.  </w:t>
      </w:r>
    </w:p>
    <w:p w14:paraId="2F4A4880" w14:textId="77777777" w:rsidR="00574242" w:rsidRPr="0099749D" w:rsidRDefault="00574242" w:rsidP="00574242">
      <w:pPr>
        <w:pStyle w:val="Bullet10"/>
        <w:spacing w:before="0"/>
        <w:rPr>
          <w:szCs w:val="24"/>
        </w:rPr>
      </w:pPr>
      <w:r w:rsidRPr="0099749D">
        <w:rPr>
          <w:szCs w:val="24"/>
        </w:rPr>
        <w:t>o</w:t>
      </w:r>
      <w:r w:rsidRPr="0099749D">
        <w:rPr>
          <w:szCs w:val="24"/>
        </w:rPr>
        <w:tab/>
        <w:t xml:space="preserve">Record revenue in gain situations before the State </w:t>
      </w:r>
      <w:proofErr w:type="gramStart"/>
      <w:r w:rsidRPr="0099749D">
        <w:rPr>
          <w:szCs w:val="24"/>
        </w:rPr>
        <w:t>actually receives</w:t>
      </w:r>
      <w:proofErr w:type="gramEnd"/>
      <w:r w:rsidRPr="0099749D">
        <w:rPr>
          <w:szCs w:val="24"/>
        </w:rPr>
        <w:t xml:space="preserve"> the gain.</w:t>
      </w:r>
    </w:p>
    <w:p w14:paraId="4FCC1298" w14:textId="77777777" w:rsidR="00574242" w:rsidRPr="0099749D" w:rsidRDefault="00574242" w:rsidP="00574242">
      <w:pPr>
        <w:keepNext/>
        <w:spacing w:before="0"/>
        <w:rPr>
          <w:szCs w:val="24"/>
        </w:rPr>
      </w:pPr>
      <w:r w:rsidRPr="0099749D">
        <w:rPr>
          <w:szCs w:val="24"/>
        </w:rPr>
        <w:t>The following liabilities should be recorded:</w:t>
      </w:r>
    </w:p>
    <w:p w14:paraId="62F21E9E" w14:textId="77777777" w:rsidR="00574242" w:rsidRPr="0099749D" w:rsidRDefault="00574242" w:rsidP="00574242">
      <w:pPr>
        <w:pStyle w:val="Bullet10"/>
        <w:keepLines/>
        <w:spacing w:before="0"/>
        <w:rPr>
          <w:szCs w:val="24"/>
        </w:rPr>
      </w:pPr>
      <w:r w:rsidRPr="0099749D">
        <w:rPr>
          <w:szCs w:val="24"/>
        </w:rPr>
        <w:t>o</w:t>
      </w:r>
      <w:r w:rsidRPr="0099749D">
        <w:rPr>
          <w:szCs w:val="24"/>
        </w:rPr>
        <w:tab/>
        <w:t xml:space="preserve">Current liabilities related to litigation in the appropriate fund.  (The State's policy is to report as current liabilities </w:t>
      </w:r>
      <w:proofErr w:type="gramStart"/>
      <w:r w:rsidRPr="0099749D">
        <w:rPr>
          <w:szCs w:val="24"/>
        </w:rPr>
        <w:t>at</w:t>
      </w:r>
      <w:proofErr w:type="gramEnd"/>
      <w:r w:rsidRPr="0099749D">
        <w:rPr>
          <w:szCs w:val="24"/>
        </w:rPr>
        <w:t xml:space="preserve"> June 30 those liabilities an agency expects to pay during the next fiscal year.) </w:t>
      </w:r>
    </w:p>
    <w:p w14:paraId="7D8D8596" w14:textId="77777777" w:rsidR="00574242" w:rsidRPr="0099749D" w:rsidRDefault="00574242" w:rsidP="00574242">
      <w:pPr>
        <w:pStyle w:val="Bullet10"/>
        <w:rPr>
          <w:szCs w:val="24"/>
        </w:rPr>
      </w:pPr>
      <w:r w:rsidRPr="0099749D">
        <w:rPr>
          <w:szCs w:val="24"/>
        </w:rPr>
        <w:t>o</w:t>
      </w:r>
      <w:r w:rsidRPr="0099749D">
        <w:rPr>
          <w:szCs w:val="24"/>
        </w:rPr>
        <w:tab/>
        <w:t xml:space="preserve">Long-term liabilities </w:t>
      </w:r>
      <w:proofErr w:type="gramStart"/>
      <w:r w:rsidRPr="0099749D">
        <w:rPr>
          <w:szCs w:val="24"/>
        </w:rPr>
        <w:t>at</w:t>
      </w:r>
      <w:proofErr w:type="gramEnd"/>
      <w:r w:rsidRPr="0099749D">
        <w:rPr>
          <w:szCs w:val="24"/>
        </w:rPr>
        <w:t xml:space="preserve"> June 30 (i.e., those that the agency expects to pay beyond the next fiscal year). </w:t>
      </w:r>
    </w:p>
    <w:p w14:paraId="394AC4CD" w14:textId="77777777" w:rsidR="00574242" w:rsidRPr="0099749D" w:rsidRDefault="00574242" w:rsidP="00574242">
      <w:pPr>
        <w:rPr>
          <w:szCs w:val="24"/>
        </w:rPr>
      </w:pPr>
    </w:p>
    <w:p w14:paraId="046CC950" w14:textId="77777777" w:rsidR="0012040B" w:rsidRDefault="0052624E" w:rsidP="003B02BA">
      <w:pPr>
        <w:pStyle w:val="Heading2"/>
      </w:pPr>
      <w:bookmarkStart w:id="301" w:name="_Toc296021467"/>
      <w:bookmarkStart w:id="302" w:name="_Toc296021556"/>
      <w:bookmarkStart w:id="303" w:name="_Toc296235448"/>
      <w:bookmarkStart w:id="304" w:name="_Toc296235549"/>
      <w:bookmarkStart w:id="305" w:name="_Toc296247838"/>
      <w:bookmarkStart w:id="306" w:name="_Toc166149284"/>
      <w:r>
        <w:lastRenderedPageBreak/>
        <w:t>Section _.14</w:t>
      </w:r>
      <w:r w:rsidR="00CE1C4E" w:rsidRPr="00CE1C4E">
        <w:t xml:space="preserve"> Disallowances</w:t>
      </w:r>
      <w:bookmarkEnd w:id="301"/>
      <w:bookmarkEnd w:id="302"/>
      <w:bookmarkEnd w:id="303"/>
      <w:bookmarkEnd w:id="304"/>
      <w:bookmarkEnd w:id="305"/>
      <w:r>
        <w:t xml:space="preserve"> and Penalties</w:t>
      </w:r>
      <w:bookmarkEnd w:id="306"/>
    </w:p>
    <w:p w14:paraId="5C73B78F" w14:textId="6D4E099F" w:rsidR="009C2F77" w:rsidRDefault="00574242" w:rsidP="00EF39D1">
      <w:pPr>
        <w:keepNext/>
        <w:spacing w:after="40"/>
        <w:rPr>
          <w:szCs w:val="24"/>
        </w:rPr>
      </w:pPr>
      <w:r w:rsidRPr="0099749D">
        <w:rPr>
          <w:szCs w:val="24"/>
        </w:rPr>
        <w:t xml:space="preserve">The </w:t>
      </w:r>
      <w:r w:rsidR="009C2F77">
        <w:rPr>
          <w:szCs w:val="24"/>
        </w:rPr>
        <w:t>disallowance</w:t>
      </w:r>
      <w:r w:rsidR="00554993">
        <w:rPr>
          <w:szCs w:val="24"/>
        </w:rPr>
        <w:t>s</w:t>
      </w:r>
      <w:r w:rsidR="009C2F77">
        <w:rPr>
          <w:szCs w:val="24"/>
        </w:rPr>
        <w:t xml:space="preserve"> and penalties reporting package</w:t>
      </w:r>
      <w:r w:rsidR="009C2F77" w:rsidRPr="0099749D">
        <w:rPr>
          <w:szCs w:val="24"/>
        </w:rPr>
        <w:t xml:space="preserve"> </w:t>
      </w:r>
      <w:r w:rsidR="009C2F77">
        <w:rPr>
          <w:szCs w:val="24"/>
        </w:rPr>
        <w:t>collects information about liabilities</w:t>
      </w:r>
      <w:r w:rsidR="005B4F6A" w:rsidRPr="005B4F6A">
        <w:rPr>
          <w:szCs w:val="24"/>
        </w:rPr>
        <w:t xml:space="preserve"> resulting from non-compliance </w:t>
      </w:r>
      <w:r w:rsidR="005B4F6A">
        <w:rPr>
          <w:szCs w:val="24"/>
        </w:rPr>
        <w:t>with</w:t>
      </w:r>
      <w:r w:rsidR="005B4F6A" w:rsidRPr="005B4F6A">
        <w:rPr>
          <w:szCs w:val="24"/>
        </w:rPr>
        <w:t xml:space="preserve"> regulations </w:t>
      </w:r>
      <w:r w:rsidR="005B4F6A">
        <w:rPr>
          <w:szCs w:val="24"/>
        </w:rPr>
        <w:t xml:space="preserve">or the </w:t>
      </w:r>
      <w:r w:rsidR="005B4F6A" w:rsidRPr="005B4F6A">
        <w:rPr>
          <w:szCs w:val="24"/>
        </w:rPr>
        <w:t>violation of rules or federal</w:t>
      </w:r>
      <w:r w:rsidR="005B4F6A" w:rsidRPr="005B4F6A">
        <w:t xml:space="preserve"> </w:t>
      </w:r>
      <w:r w:rsidR="005B4F6A">
        <w:rPr>
          <w:szCs w:val="24"/>
        </w:rPr>
        <w:t>program requirements</w:t>
      </w:r>
      <w:r w:rsidR="005B4F6A" w:rsidRPr="005B4F6A">
        <w:rPr>
          <w:szCs w:val="24"/>
        </w:rPr>
        <w:t xml:space="preserve"> that occurred before year-end</w:t>
      </w:r>
      <w:r w:rsidR="00746B78">
        <w:rPr>
          <w:szCs w:val="24"/>
        </w:rPr>
        <w:t xml:space="preserve"> (June 30)</w:t>
      </w:r>
      <w:r w:rsidR="005B4F6A" w:rsidRPr="005B4F6A">
        <w:rPr>
          <w:szCs w:val="24"/>
        </w:rPr>
        <w:t>.</w:t>
      </w:r>
      <w:r w:rsidR="009C2F77" w:rsidRPr="009C2F77">
        <w:rPr>
          <w:szCs w:val="24"/>
        </w:rPr>
        <w:t xml:space="preserve"> </w:t>
      </w:r>
      <w:r w:rsidR="009C2F77" w:rsidRPr="0099749D">
        <w:rPr>
          <w:szCs w:val="24"/>
        </w:rPr>
        <w:t>The State has a liability if it agreed before year-end</w:t>
      </w:r>
      <w:r w:rsidR="00C62179">
        <w:rPr>
          <w:szCs w:val="24"/>
        </w:rPr>
        <w:t xml:space="preserve"> </w:t>
      </w:r>
      <w:r w:rsidR="009C2F77" w:rsidRPr="0099749D">
        <w:rPr>
          <w:szCs w:val="24"/>
        </w:rPr>
        <w:t xml:space="preserve">to </w:t>
      </w:r>
      <w:r w:rsidR="003E50F1">
        <w:rPr>
          <w:szCs w:val="24"/>
        </w:rPr>
        <w:t xml:space="preserve">a) </w:t>
      </w:r>
      <w:r w:rsidR="009C2F77" w:rsidRPr="0099749D">
        <w:rPr>
          <w:szCs w:val="24"/>
        </w:rPr>
        <w:t xml:space="preserve">make payments </w:t>
      </w:r>
      <w:r w:rsidR="003E50F1">
        <w:rPr>
          <w:szCs w:val="24"/>
        </w:rPr>
        <w:t xml:space="preserve">after year-end </w:t>
      </w:r>
      <w:r w:rsidR="009C2F77" w:rsidRPr="0099749D">
        <w:rPr>
          <w:szCs w:val="24"/>
        </w:rPr>
        <w:t xml:space="preserve">or </w:t>
      </w:r>
      <w:r w:rsidR="003E50F1">
        <w:rPr>
          <w:szCs w:val="24"/>
        </w:rPr>
        <w:t xml:space="preserve">b) </w:t>
      </w:r>
      <w:r w:rsidR="009C2F77" w:rsidRPr="0099749D">
        <w:rPr>
          <w:szCs w:val="24"/>
        </w:rPr>
        <w:t xml:space="preserve">accept reduced revenues after year-end.  </w:t>
      </w:r>
      <w:r w:rsidR="009C2F77">
        <w:rPr>
          <w:szCs w:val="24"/>
        </w:rPr>
        <w:t xml:space="preserve">The information reported on the </w:t>
      </w:r>
      <w:r w:rsidR="009C2F77" w:rsidRPr="009C2F77">
        <w:rPr>
          <w:szCs w:val="24"/>
        </w:rPr>
        <w:t>disallowance</w:t>
      </w:r>
      <w:r w:rsidR="00F973F6">
        <w:rPr>
          <w:szCs w:val="24"/>
        </w:rPr>
        <w:t>s</w:t>
      </w:r>
      <w:r w:rsidR="009C2F77" w:rsidRPr="009C2F77">
        <w:rPr>
          <w:szCs w:val="24"/>
        </w:rPr>
        <w:t xml:space="preserve"> and penalties reporting package</w:t>
      </w:r>
      <w:r w:rsidR="009C2F77">
        <w:rPr>
          <w:szCs w:val="24"/>
        </w:rPr>
        <w:t xml:space="preserve"> </w:t>
      </w:r>
      <w:r w:rsidR="000115E3">
        <w:rPr>
          <w:szCs w:val="24"/>
        </w:rPr>
        <w:t xml:space="preserve">is </w:t>
      </w:r>
      <w:r w:rsidR="009C2F77" w:rsidRPr="0099749D">
        <w:rPr>
          <w:szCs w:val="24"/>
        </w:rPr>
        <w:t>recorded</w:t>
      </w:r>
      <w:r w:rsidR="00554993">
        <w:rPr>
          <w:szCs w:val="24"/>
        </w:rPr>
        <w:t xml:space="preserve"> by the A</w:t>
      </w:r>
      <w:r w:rsidR="005E0E8A">
        <w:rPr>
          <w:szCs w:val="24"/>
        </w:rPr>
        <w:t>C</w:t>
      </w:r>
      <w:r w:rsidR="00554993">
        <w:rPr>
          <w:szCs w:val="24"/>
        </w:rPr>
        <w:t>FR team</w:t>
      </w:r>
      <w:r w:rsidR="009C2F77" w:rsidRPr="0099749D">
        <w:rPr>
          <w:szCs w:val="24"/>
        </w:rPr>
        <w:t xml:space="preserve"> in the general ledger</w:t>
      </w:r>
      <w:r w:rsidR="00F973F6">
        <w:rPr>
          <w:szCs w:val="24"/>
        </w:rPr>
        <w:t xml:space="preserve"> </w:t>
      </w:r>
      <w:r w:rsidR="00F973F6" w:rsidRPr="00F973F6">
        <w:rPr>
          <w:szCs w:val="24"/>
        </w:rPr>
        <w:t>at a A</w:t>
      </w:r>
      <w:r w:rsidR="005E0E8A">
        <w:rPr>
          <w:szCs w:val="24"/>
        </w:rPr>
        <w:t>C</w:t>
      </w:r>
      <w:r w:rsidR="00F973F6" w:rsidRPr="00F973F6">
        <w:rPr>
          <w:szCs w:val="24"/>
        </w:rPr>
        <w:t>FR level (non-agency)</w:t>
      </w:r>
      <w:r w:rsidR="009C2F77" w:rsidRPr="0099749D">
        <w:rPr>
          <w:szCs w:val="24"/>
        </w:rPr>
        <w:t>.</w:t>
      </w:r>
    </w:p>
    <w:p w14:paraId="5E55DD50" w14:textId="77777777" w:rsidR="000115E3" w:rsidRDefault="000115E3" w:rsidP="000115E3">
      <w:pPr>
        <w:rPr>
          <w:szCs w:val="24"/>
        </w:rPr>
      </w:pPr>
      <w:r w:rsidRPr="00E06020">
        <w:rPr>
          <w:szCs w:val="24"/>
        </w:rPr>
        <w:t xml:space="preserve">The liability must be reported even if there is a corresponding reimbursement from another party and there is no net liability to the State. </w:t>
      </w:r>
      <w:r w:rsidR="00746B78" w:rsidRPr="0099749D">
        <w:rPr>
          <w:szCs w:val="24"/>
        </w:rPr>
        <w:t xml:space="preserve">The </w:t>
      </w:r>
      <w:r w:rsidR="00746B78">
        <w:rPr>
          <w:szCs w:val="24"/>
        </w:rPr>
        <w:t>disallowances and penalties reporting package</w:t>
      </w:r>
      <w:r w:rsidR="00746B78" w:rsidRPr="0099749D">
        <w:rPr>
          <w:szCs w:val="24"/>
        </w:rPr>
        <w:t xml:space="preserve"> </w:t>
      </w:r>
      <w:r w:rsidR="00746B78">
        <w:rPr>
          <w:szCs w:val="24"/>
        </w:rPr>
        <w:t xml:space="preserve">also collects information about the related reimbursement. </w:t>
      </w:r>
    </w:p>
    <w:p w14:paraId="1F182347" w14:textId="5F6E0B9A" w:rsidR="000115E3" w:rsidRPr="0099749D" w:rsidRDefault="000115E3" w:rsidP="000115E3">
      <w:pPr>
        <w:spacing w:after="40"/>
        <w:rPr>
          <w:szCs w:val="24"/>
        </w:rPr>
      </w:pPr>
      <w:r w:rsidRPr="0099749D">
        <w:rPr>
          <w:szCs w:val="24"/>
        </w:rPr>
        <w:t>Only the "end recipient" of funds within State government should report disallowances</w:t>
      </w:r>
      <w:r>
        <w:rPr>
          <w:szCs w:val="24"/>
        </w:rPr>
        <w:t xml:space="preserve"> and penalties</w:t>
      </w:r>
      <w:r w:rsidRPr="0099749D">
        <w:rPr>
          <w:szCs w:val="24"/>
        </w:rPr>
        <w:t>.</w:t>
      </w:r>
      <w:r w:rsidR="008D2AE4" w:rsidRPr="008D2AE4">
        <w:t xml:space="preserve"> </w:t>
      </w:r>
      <w:r w:rsidR="008D2AE4" w:rsidRPr="008D2AE4">
        <w:rPr>
          <w:szCs w:val="24"/>
        </w:rPr>
        <w:t>See GASB Statement No. 24 for more information about pass-through grants.</w:t>
      </w:r>
      <w:r w:rsidRPr="0099749D">
        <w:rPr>
          <w:szCs w:val="24"/>
        </w:rPr>
        <w:t xml:space="preserve">  </w:t>
      </w:r>
    </w:p>
    <w:p w14:paraId="7C0E0CC4" w14:textId="77777777" w:rsidR="000115E3" w:rsidRPr="0099749D" w:rsidRDefault="000115E3" w:rsidP="000115E3">
      <w:pPr>
        <w:pStyle w:val="Bullet10"/>
        <w:spacing w:before="40" w:after="40"/>
        <w:ind w:hanging="360"/>
        <w:rPr>
          <w:szCs w:val="24"/>
        </w:rPr>
      </w:pPr>
      <w:r w:rsidRPr="0099749D">
        <w:rPr>
          <w:szCs w:val="24"/>
        </w:rPr>
        <w:t>o</w:t>
      </w:r>
      <w:r w:rsidRPr="0099749D">
        <w:rPr>
          <w:szCs w:val="24"/>
        </w:rPr>
        <w:tab/>
        <w:t xml:space="preserve">Your agency </w:t>
      </w:r>
      <w:r w:rsidRPr="0099749D">
        <w:rPr>
          <w:szCs w:val="24"/>
          <w:u w:val="single"/>
        </w:rPr>
        <w:t>should not</w:t>
      </w:r>
      <w:r>
        <w:rPr>
          <w:szCs w:val="24"/>
        </w:rPr>
        <w:t xml:space="preserve"> report d</w:t>
      </w:r>
      <w:r w:rsidRPr="0099749D">
        <w:rPr>
          <w:szCs w:val="24"/>
        </w:rPr>
        <w:t>isallowances</w:t>
      </w:r>
      <w:r>
        <w:rPr>
          <w:szCs w:val="24"/>
        </w:rPr>
        <w:t xml:space="preserve"> and penalties</w:t>
      </w:r>
      <w:r w:rsidRPr="0099749D">
        <w:rPr>
          <w:szCs w:val="24"/>
        </w:rPr>
        <w:t xml:space="preserve"> related to</w:t>
      </w:r>
      <w:r>
        <w:rPr>
          <w:szCs w:val="24"/>
        </w:rPr>
        <w:t xml:space="preserve"> fund</w:t>
      </w:r>
      <w:r w:rsidRPr="0099749D">
        <w:rPr>
          <w:szCs w:val="24"/>
        </w:rPr>
        <w:t xml:space="preserve">s it "passed through" to </w:t>
      </w:r>
      <w:r w:rsidRPr="0099749D">
        <w:rPr>
          <w:szCs w:val="24"/>
          <w:u w:val="single"/>
        </w:rPr>
        <w:t xml:space="preserve">other </w:t>
      </w:r>
      <w:r w:rsidR="00F973F6" w:rsidRPr="00F973F6">
        <w:rPr>
          <w:szCs w:val="24"/>
          <w:u w:val="single"/>
        </w:rPr>
        <w:t>entities within the State's reporting entity</w:t>
      </w:r>
      <w:r w:rsidR="009B5881">
        <w:rPr>
          <w:rStyle w:val="FootnoteReference"/>
          <w:szCs w:val="24"/>
        </w:rPr>
        <w:footnoteReference w:id="44"/>
      </w:r>
      <w:r w:rsidR="009B5881" w:rsidRPr="0099749D">
        <w:rPr>
          <w:szCs w:val="24"/>
        </w:rPr>
        <w:t>.</w:t>
      </w:r>
    </w:p>
    <w:p w14:paraId="420CC153" w14:textId="77777777" w:rsidR="000115E3" w:rsidRPr="0099749D" w:rsidRDefault="000115E3" w:rsidP="000115E3">
      <w:pPr>
        <w:pStyle w:val="Bullet10"/>
        <w:keepNext/>
        <w:spacing w:before="40" w:after="40"/>
        <w:ind w:hanging="360"/>
        <w:rPr>
          <w:szCs w:val="24"/>
        </w:rPr>
      </w:pPr>
      <w:r w:rsidRPr="0099749D">
        <w:rPr>
          <w:szCs w:val="24"/>
        </w:rPr>
        <w:t>o</w:t>
      </w:r>
      <w:r w:rsidRPr="0099749D">
        <w:rPr>
          <w:szCs w:val="24"/>
        </w:rPr>
        <w:tab/>
        <w:t xml:space="preserve">Your agency </w:t>
      </w:r>
      <w:r w:rsidRPr="0099749D">
        <w:rPr>
          <w:szCs w:val="24"/>
          <w:u w:val="words"/>
        </w:rPr>
        <w:t>should</w:t>
      </w:r>
      <w:r w:rsidRPr="0099749D">
        <w:rPr>
          <w:szCs w:val="24"/>
        </w:rPr>
        <w:t xml:space="preserve"> report disallowances </w:t>
      </w:r>
      <w:r>
        <w:rPr>
          <w:szCs w:val="24"/>
        </w:rPr>
        <w:t xml:space="preserve">and penalties </w:t>
      </w:r>
      <w:r w:rsidRPr="0099749D">
        <w:rPr>
          <w:szCs w:val="24"/>
        </w:rPr>
        <w:t>related to funds that your agency:</w:t>
      </w:r>
    </w:p>
    <w:p w14:paraId="7E616C62" w14:textId="77777777" w:rsidR="000115E3" w:rsidRPr="0099749D" w:rsidRDefault="000115E3" w:rsidP="000115E3">
      <w:pPr>
        <w:pStyle w:val="Bullet2"/>
        <w:spacing w:before="40" w:after="40"/>
        <w:rPr>
          <w:szCs w:val="24"/>
        </w:rPr>
      </w:pPr>
      <w:r w:rsidRPr="0099749D">
        <w:rPr>
          <w:szCs w:val="24"/>
        </w:rPr>
        <w:t>--</w:t>
      </w:r>
      <w:r w:rsidRPr="0099749D">
        <w:rPr>
          <w:szCs w:val="24"/>
        </w:rPr>
        <w:tab/>
        <w:t>Directly expended for salaries, supplies, equipment, etc.</w:t>
      </w:r>
    </w:p>
    <w:p w14:paraId="7A87E6A1" w14:textId="77777777" w:rsidR="000115E3" w:rsidRDefault="000115E3" w:rsidP="000115E3">
      <w:pPr>
        <w:pStyle w:val="Bullet2"/>
        <w:spacing w:before="40"/>
        <w:rPr>
          <w:szCs w:val="24"/>
        </w:rPr>
      </w:pPr>
      <w:r w:rsidRPr="0099749D">
        <w:rPr>
          <w:szCs w:val="24"/>
        </w:rPr>
        <w:t>--</w:t>
      </w:r>
      <w:r w:rsidRPr="0099749D">
        <w:rPr>
          <w:szCs w:val="24"/>
        </w:rPr>
        <w:tab/>
        <w:t xml:space="preserve">"Passed through" to </w:t>
      </w:r>
      <w:r w:rsidR="00F973F6" w:rsidRPr="00F973F6">
        <w:rPr>
          <w:szCs w:val="24"/>
          <w:u w:val="single"/>
        </w:rPr>
        <w:t>entities not within the State's</w:t>
      </w:r>
      <w:r w:rsidR="00F973F6">
        <w:rPr>
          <w:szCs w:val="24"/>
          <w:u w:val="single"/>
        </w:rPr>
        <w:t xml:space="preserve"> </w:t>
      </w:r>
      <w:r w:rsidR="00F973F6" w:rsidRPr="00F973F6">
        <w:rPr>
          <w:szCs w:val="24"/>
          <w:u w:val="single"/>
        </w:rPr>
        <w:t>reporting entity</w:t>
      </w:r>
      <w:r w:rsidRPr="0099749D">
        <w:rPr>
          <w:szCs w:val="24"/>
        </w:rPr>
        <w:t>.</w:t>
      </w:r>
    </w:p>
    <w:p w14:paraId="4AA7B895" w14:textId="16045468" w:rsidR="00574242" w:rsidRPr="0099749D" w:rsidRDefault="001747B9" w:rsidP="00EF39D1">
      <w:pPr>
        <w:keepNext/>
        <w:spacing w:after="40"/>
        <w:rPr>
          <w:szCs w:val="24"/>
        </w:rPr>
      </w:pPr>
      <w:r>
        <w:rPr>
          <w:szCs w:val="24"/>
        </w:rPr>
        <w:t xml:space="preserve">Other </w:t>
      </w:r>
      <w:r w:rsidR="00C62179" w:rsidRPr="001747B9">
        <w:rPr>
          <w:szCs w:val="24"/>
        </w:rPr>
        <w:t>disallowance</w:t>
      </w:r>
      <w:r w:rsidR="00C9635E">
        <w:rPr>
          <w:szCs w:val="24"/>
        </w:rPr>
        <w:t xml:space="preserve"> and penalty</w:t>
      </w:r>
      <w:r w:rsidR="00C62179">
        <w:rPr>
          <w:szCs w:val="24"/>
        </w:rPr>
        <w:t xml:space="preserve"> </w:t>
      </w:r>
      <w:r>
        <w:rPr>
          <w:szCs w:val="24"/>
        </w:rPr>
        <w:t>situations</w:t>
      </w:r>
      <w:r w:rsidR="0009741D">
        <w:rPr>
          <w:szCs w:val="24"/>
        </w:rPr>
        <w:t xml:space="preserve"> </w:t>
      </w:r>
      <w:r w:rsidR="0009741D" w:rsidRPr="0009741D">
        <w:rPr>
          <w:szCs w:val="24"/>
        </w:rPr>
        <w:t xml:space="preserve">that may require future payments or reduced revenues after June 30 </w:t>
      </w:r>
      <w:r w:rsidR="000115E3">
        <w:rPr>
          <w:szCs w:val="24"/>
        </w:rPr>
        <w:t xml:space="preserve">are reported </w:t>
      </w:r>
      <w:r w:rsidR="00C9635E">
        <w:rPr>
          <w:szCs w:val="24"/>
        </w:rPr>
        <w:t>as part of</w:t>
      </w:r>
      <w:r w:rsidR="000115E3">
        <w:rPr>
          <w:szCs w:val="24"/>
        </w:rPr>
        <w:t xml:space="preserve"> </w:t>
      </w:r>
      <w:r>
        <w:rPr>
          <w:szCs w:val="24"/>
        </w:rPr>
        <w:t>the subsequent events reporting package</w:t>
      </w:r>
      <w:r w:rsidR="000115E3">
        <w:rPr>
          <w:szCs w:val="24"/>
        </w:rPr>
        <w:t xml:space="preserve">. </w:t>
      </w:r>
      <w:r w:rsidR="00C62179">
        <w:rPr>
          <w:szCs w:val="24"/>
        </w:rPr>
        <w:t xml:space="preserve">See </w:t>
      </w:r>
      <w:r w:rsidR="00C62179" w:rsidRPr="00C62179">
        <w:rPr>
          <w:szCs w:val="24"/>
        </w:rPr>
        <w:t>GASB Statement No. 56 paragraphs 8-13</w:t>
      </w:r>
      <w:r w:rsidR="00C62179">
        <w:rPr>
          <w:szCs w:val="24"/>
        </w:rPr>
        <w:t xml:space="preserve"> and GASB </w:t>
      </w:r>
      <w:r w:rsidR="00C62179" w:rsidRPr="00C62179">
        <w:rPr>
          <w:szCs w:val="24"/>
        </w:rPr>
        <w:t>Statement No. 62 paragraphs 96-108.</w:t>
      </w:r>
    </w:p>
    <w:p w14:paraId="1F60FCFB" w14:textId="44FAA86F" w:rsidR="001747B9" w:rsidRDefault="00574242" w:rsidP="009C2F77">
      <w:pPr>
        <w:pStyle w:val="Bullet10"/>
        <w:spacing w:before="40" w:after="0"/>
        <w:ind w:hanging="360"/>
        <w:rPr>
          <w:szCs w:val="24"/>
        </w:rPr>
      </w:pPr>
      <w:r w:rsidRPr="0099749D">
        <w:rPr>
          <w:szCs w:val="24"/>
        </w:rPr>
        <w:t>o</w:t>
      </w:r>
      <w:r w:rsidRPr="0099749D">
        <w:rPr>
          <w:szCs w:val="24"/>
        </w:rPr>
        <w:tab/>
      </w:r>
      <w:proofErr w:type="gramStart"/>
      <w:r w:rsidRPr="0099749D">
        <w:rPr>
          <w:szCs w:val="24"/>
        </w:rPr>
        <w:t>A</w:t>
      </w:r>
      <w:r w:rsidR="001747B9">
        <w:rPr>
          <w:szCs w:val="24"/>
        </w:rPr>
        <w:t>n</w:t>
      </w:r>
      <w:proofErr w:type="gramEnd"/>
      <w:r w:rsidR="001747B9">
        <w:rPr>
          <w:szCs w:val="24"/>
        </w:rPr>
        <w:t xml:space="preserve"> estimated liability</w:t>
      </w:r>
      <w:r w:rsidR="00C62179">
        <w:rPr>
          <w:szCs w:val="24"/>
        </w:rPr>
        <w:t xml:space="preserve">: If information is available at the time the </w:t>
      </w:r>
      <w:r w:rsidR="00C62179" w:rsidRPr="00C62179">
        <w:rPr>
          <w:szCs w:val="24"/>
        </w:rPr>
        <w:t>subsequent events reporting package</w:t>
      </w:r>
      <w:r w:rsidR="00C62179">
        <w:rPr>
          <w:szCs w:val="24"/>
        </w:rPr>
        <w:t xml:space="preserve"> is due that indicates that it is probable</w:t>
      </w:r>
      <w:r w:rsidR="00010E73">
        <w:rPr>
          <w:rStyle w:val="FootnoteReference"/>
          <w:szCs w:val="24"/>
        </w:rPr>
        <w:footnoteReference w:id="45"/>
      </w:r>
      <w:r w:rsidR="00C62179">
        <w:rPr>
          <w:szCs w:val="24"/>
        </w:rPr>
        <w:t xml:space="preserve"> that</w:t>
      </w:r>
      <w:r w:rsidR="008B033E">
        <w:rPr>
          <w:szCs w:val="24"/>
        </w:rPr>
        <w:t xml:space="preserve"> a </w:t>
      </w:r>
      <w:r w:rsidR="008B033E" w:rsidRPr="008B033E">
        <w:rPr>
          <w:szCs w:val="24"/>
        </w:rPr>
        <w:t xml:space="preserve">disallowance </w:t>
      </w:r>
      <w:r w:rsidR="008B033E">
        <w:rPr>
          <w:szCs w:val="24"/>
        </w:rPr>
        <w:t>or</w:t>
      </w:r>
      <w:r w:rsidR="008B033E" w:rsidRPr="008B033E">
        <w:rPr>
          <w:szCs w:val="24"/>
        </w:rPr>
        <w:t xml:space="preserve"> penalt</w:t>
      </w:r>
      <w:r w:rsidR="008B033E">
        <w:rPr>
          <w:szCs w:val="24"/>
        </w:rPr>
        <w:t>y had occurred</w:t>
      </w:r>
      <w:r w:rsidR="0009741D">
        <w:rPr>
          <w:szCs w:val="24"/>
        </w:rPr>
        <w:t xml:space="preserve"> </w:t>
      </w:r>
      <w:r w:rsidR="00C62179" w:rsidRPr="00C62179">
        <w:rPr>
          <w:szCs w:val="24"/>
        </w:rPr>
        <w:t>before year-end</w:t>
      </w:r>
      <w:r w:rsidR="008B033E">
        <w:rPr>
          <w:szCs w:val="24"/>
        </w:rPr>
        <w:t xml:space="preserve"> (June 30)</w:t>
      </w:r>
      <w:r w:rsidR="00DE5EA8">
        <w:rPr>
          <w:szCs w:val="24"/>
        </w:rPr>
        <w:t>,</w:t>
      </w:r>
      <w:r w:rsidR="00180AA1">
        <w:rPr>
          <w:szCs w:val="24"/>
        </w:rPr>
        <w:t xml:space="preserve"> then the agency must report an estimate</w:t>
      </w:r>
      <w:r w:rsidR="004917BB">
        <w:rPr>
          <w:szCs w:val="24"/>
        </w:rPr>
        <w:t xml:space="preserve"> or estimate range</w:t>
      </w:r>
      <w:r w:rsidR="00180AA1">
        <w:rPr>
          <w:szCs w:val="24"/>
        </w:rPr>
        <w:t xml:space="preserve"> of the</w:t>
      </w:r>
      <w:r w:rsidR="00C62179" w:rsidRPr="00C62179">
        <w:rPr>
          <w:szCs w:val="24"/>
        </w:rPr>
        <w:t xml:space="preserve"> </w:t>
      </w:r>
      <w:r w:rsidR="00DD11C5">
        <w:rPr>
          <w:szCs w:val="24"/>
        </w:rPr>
        <w:t xml:space="preserve">future </w:t>
      </w:r>
      <w:r w:rsidR="00C62179" w:rsidRPr="00C62179">
        <w:rPr>
          <w:szCs w:val="24"/>
        </w:rPr>
        <w:t xml:space="preserve">payments or </w:t>
      </w:r>
      <w:r w:rsidR="00180AA1">
        <w:rPr>
          <w:szCs w:val="24"/>
        </w:rPr>
        <w:t xml:space="preserve">reduced revenues. </w:t>
      </w:r>
      <w:r w:rsidR="004917BB" w:rsidRPr="004917BB">
        <w:rPr>
          <w:szCs w:val="24"/>
        </w:rPr>
        <w:t>If an estimate range</w:t>
      </w:r>
      <w:r w:rsidR="004917BB">
        <w:rPr>
          <w:szCs w:val="24"/>
        </w:rPr>
        <w:t xml:space="preserve"> is used</w:t>
      </w:r>
      <w:r w:rsidR="00DE5EA8">
        <w:rPr>
          <w:szCs w:val="24"/>
        </w:rPr>
        <w:t>,</w:t>
      </w:r>
      <w:r w:rsidR="004917BB">
        <w:rPr>
          <w:szCs w:val="24"/>
        </w:rPr>
        <w:t xml:space="preserve"> please also disclose if </w:t>
      </w:r>
      <w:r w:rsidR="004917BB" w:rsidRPr="004917BB">
        <w:rPr>
          <w:szCs w:val="24"/>
        </w:rPr>
        <w:t>some amount within the range appears at the time to be a better estimate than any other amount within the range</w:t>
      </w:r>
      <w:r w:rsidR="004917BB">
        <w:rPr>
          <w:szCs w:val="24"/>
        </w:rPr>
        <w:t xml:space="preserve"> or if </w:t>
      </w:r>
      <w:r w:rsidR="004917BB" w:rsidRPr="004917BB">
        <w:rPr>
          <w:szCs w:val="24"/>
        </w:rPr>
        <w:t>no amount within the range is a better estimate than any other amount</w:t>
      </w:r>
      <w:r w:rsidR="004917BB">
        <w:rPr>
          <w:szCs w:val="24"/>
        </w:rPr>
        <w:t>.</w:t>
      </w:r>
      <w:r w:rsidR="003B020F" w:rsidRPr="003B020F">
        <w:rPr>
          <w:szCs w:val="24"/>
        </w:rPr>
        <w:t xml:space="preserve"> </w:t>
      </w:r>
      <w:r w:rsidR="00BC04E3" w:rsidRPr="00BC04E3">
        <w:rPr>
          <w:szCs w:val="24"/>
        </w:rPr>
        <w:t xml:space="preserve">The subsequent events reporting package will </w:t>
      </w:r>
      <w:r w:rsidR="00BC04E3">
        <w:rPr>
          <w:szCs w:val="24"/>
        </w:rPr>
        <w:t xml:space="preserve">also </w:t>
      </w:r>
      <w:r w:rsidR="00BC04E3" w:rsidRPr="00BC04E3">
        <w:rPr>
          <w:szCs w:val="24"/>
        </w:rPr>
        <w:t>request</w:t>
      </w:r>
      <w:r w:rsidR="00BC04E3" w:rsidRPr="00BC04E3">
        <w:t xml:space="preserve"> </w:t>
      </w:r>
      <w:r w:rsidR="00BC04E3" w:rsidRPr="00BC04E3">
        <w:rPr>
          <w:szCs w:val="24"/>
        </w:rPr>
        <w:t>the fund(s) responsible for payment, State fiscal year amounts are due, a description of the</w:t>
      </w:r>
      <w:r w:rsidR="00BC04E3" w:rsidRPr="00BC04E3">
        <w:t xml:space="preserve"> </w:t>
      </w:r>
      <w:r w:rsidR="00BC04E3" w:rsidRPr="00BC04E3">
        <w:rPr>
          <w:szCs w:val="24"/>
        </w:rPr>
        <w:t>situation, name of the entity assessing the disallowance or penalty, information about a receivable</w:t>
      </w:r>
      <w:r w:rsidR="00BC04E3" w:rsidRPr="00BC04E3">
        <w:t xml:space="preserve"> </w:t>
      </w:r>
      <w:r w:rsidR="00BC04E3" w:rsidRPr="00BC04E3">
        <w:rPr>
          <w:szCs w:val="24"/>
        </w:rPr>
        <w:t xml:space="preserve">from outside the State </w:t>
      </w:r>
      <w:r w:rsidR="006617E6">
        <w:rPr>
          <w:szCs w:val="24"/>
        </w:rPr>
        <w:t>r</w:t>
      </w:r>
      <w:r w:rsidR="00BC04E3" w:rsidRPr="00BC04E3">
        <w:rPr>
          <w:szCs w:val="24"/>
        </w:rPr>
        <w:t xml:space="preserve">eporting </w:t>
      </w:r>
      <w:r w:rsidR="006617E6">
        <w:rPr>
          <w:szCs w:val="24"/>
        </w:rPr>
        <w:t>e</w:t>
      </w:r>
      <w:r w:rsidR="00BC04E3" w:rsidRPr="00BC04E3">
        <w:rPr>
          <w:szCs w:val="24"/>
        </w:rPr>
        <w:t xml:space="preserve">ntity for a portion or </w:t>
      </w:r>
      <w:proofErr w:type="gramStart"/>
      <w:r w:rsidR="00BC04E3" w:rsidRPr="00BC04E3">
        <w:rPr>
          <w:szCs w:val="24"/>
        </w:rPr>
        <w:t>all of</w:t>
      </w:r>
      <w:proofErr w:type="gramEnd"/>
      <w:r w:rsidR="00BC04E3" w:rsidRPr="00BC04E3">
        <w:rPr>
          <w:szCs w:val="24"/>
        </w:rPr>
        <w:t xml:space="preserve"> this liability (if applicable), and</w:t>
      </w:r>
      <w:r w:rsidR="00BC04E3" w:rsidRPr="00BC04E3">
        <w:t xml:space="preserve"> </w:t>
      </w:r>
      <w:r w:rsidR="00BC04E3" w:rsidRPr="00BC04E3">
        <w:rPr>
          <w:szCs w:val="24"/>
        </w:rPr>
        <w:t xml:space="preserve">pass-through information (if applicable). </w:t>
      </w:r>
      <w:r w:rsidR="004360E1" w:rsidRPr="004360E1">
        <w:rPr>
          <w:szCs w:val="24"/>
        </w:rPr>
        <w:t xml:space="preserve">If possible, send a copy of related correspondences with the entity assessing the disallowance or penalty, the outside entity paying a portion or </w:t>
      </w:r>
      <w:proofErr w:type="gramStart"/>
      <w:r w:rsidR="004360E1" w:rsidRPr="004360E1">
        <w:rPr>
          <w:szCs w:val="24"/>
        </w:rPr>
        <w:t>all of</w:t>
      </w:r>
      <w:proofErr w:type="gramEnd"/>
      <w:r w:rsidR="004360E1" w:rsidRPr="004360E1">
        <w:rPr>
          <w:szCs w:val="24"/>
        </w:rPr>
        <w:t xml:space="preserve"> this liability (if applicable), and the pass-through entity (if applicable).</w:t>
      </w:r>
      <w:r w:rsidR="004360E1">
        <w:rPr>
          <w:szCs w:val="24"/>
        </w:rPr>
        <w:t xml:space="preserve"> </w:t>
      </w:r>
      <w:r w:rsidR="003B020F">
        <w:rPr>
          <w:szCs w:val="24"/>
        </w:rPr>
        <w:t xml:space="preserve">The estimated liability </w:t>
      </w:r>
      <w:r w:rsidR="003B020F" w:rsidRPr="00180AA1">
        <w:rPr>
          <w:szCs w:val="24"/>
        </w:rPr>
        <w:t xml:space="preserve">is recorded by the </w:t>
      </w:r>
      <w:r w:rsidR="005E0E8A">
        <w:rPr>
          <w:szCs w:val="24"/>
        </w:rPr>
        <w:t>AC</w:t>
      </w:r>
      <w:r w:rsidR="003B020F" w:rsidRPr="00180AA1">
        <w:rPr>
          <w:szCs w:val="24"/>
        </w:rPr>
        <w:t>FR team in the general ledger.</w:t>
      </w:r>
      <w:r w:rsidR="003B020F">
        <w:rPr>
          <w:szCs w:val="24"/>
        </w:rPr>
        <w:t xml:space="preserve"> If </w:t>
      </w:r>
      <w:r w:rsidR="003B020F" w:rsidRPr="003B020F">
        <w:rPr>
          <w:szCs w:val="24"/>
        </w:rPr>
        <w:t xml:space="preserve">no amount within </w:t>
      </w:r>
      <w:r w:rsidR="003B020F">
        <w:rPr>
          <w:szCs w:val="24"/>
        </w:rPr>
        <w:t>an estimate</w:t>
      </w:r>
      <w:r w:rsidR="003B020F" w:rsidRPr="003B020F">
        <w:rPr>
          <w:szCs w:val="24"/>
        </w:rPr>
        <w:t xml:space="preserve"> range is a better estimate than any other amount, the minimum amount in the range is recorded by the A</w:t>
      </w:r>
      <w:r w:rsidR="005E0E8A">
        <w:rPr>
          <w:szCs w:val="24"/>
        </w:rPr>
        <w:t>C</w:t>
      </w:r>
      <w:r w:rsidR="003B020F" w:rsidRPr="003B020F">
        <w:rPr>
          <w:szCs w:val="24"/>
        </w:rPr>
        <w:t>FR team in the general ledger</w:t>
      </w:r>
      <w:r w:rsidR="003B020F">
        <w:rPr>
          <w:szCs w:val="24"/>
        </w:rPr>
        <w:t xml:space="preserve"> and the additional </w:t>
      </w:r>
      <w:r w:rsidR="003B020F" w:rsidRPr="003B020F">
        <w:rPr>
          <w:szCs w:val="24"/>
        </w:rPr>
        <w:t>reasonably possible</w:t>
      </w:r>
      <w:r w:rsidR="003B020F">
        <w:rPr>
          <w:szCs w:val="24"/>
        </w:rPr>
        <w:t xml:space="preserve"> loss </w:t>
      </w:r>
      <w:r w:rsidR="003B020F" w:rsidRPr="003B020F">
        <w:rPr>
          <w:szCs w:val="24"/>
        </w:rPr>
        <w:t>should be disclosed in the notes to the financial statements</w:t>
      </w:r>
      <w:r w:rsidR="003B020F">
        <w:rPr>
          <w:szCs w:val="24"/>
        </w:rPr>
        <w:t>.</w:t>
      </w:r>
    </w:p>
    <w:p w14:paraId="66D5DC48" w14:textId="77777777" w:rsidR="008B612C" w:rsidRDefault="00180AA1" w:rsidP="009C2F77">
      <w:pPr>
        <w:pStyle w:val="Bullet10"/>
        <w:spacing w:before="40" w:after="0"/>
        <w:ind w:hanging="360"/>
        <w:rPr>
          <w:szCs w:val="24"/>
        </w:rPr>
      </w:pPr>
      <w:r w:rsidRPr="0099749D">
        <w:rPr>
          <w:szCs w:val="24"/>
        </w:rPr>
        <w:t>o</w:t>
      </w:r>
      <w:r w:rsidRPr="0099749D">
        <w:rPr>
          <w:szCs w:val="24"/>
        </w:rPr>
        <w:tab/>
      </w:r>
      <w:r w:rsidR="008B612C">
        <w:rPr>
          <w:szCs w:val="24"/>
        </w:rPr>
        <w:t>A note disclosure:</w:t>
      </w:r>
    </w:p>
    <w:p w14:paraId="3570B1B7" w14:textId="6724F9BA" w:rsidR="00180AA1" w:rsidRDefault="008B612C" w:rsidP="008B612C">
      <w:pPr>
        <w:pStyle w:val="Bullet10"/>
        <w:spacing w:before="40" w:after="0"/>
        <w:ind w:left="1440" w:hanging="450"/>
        <w:rPr>
          <w:szCs w:val="24"/>
        </w:rPr>
      </w:pPr>
      <w:r w:rsidRPr="0099749D">
        <w:rPr>
          <w:szCs w:val="24"/>
        </w:rPr>
        <w:lastRenderedPageBreak/>
        <w:t>--</w:t>
      </w:r>
      <w:r>
        <w:rPr>
          <w:szCs w:val="24"/>
        </w:rPr>
        <w:t xml:space="preserve"> </w:t>
      </w:r>
      <w:r>
        <w:rPr>
          <w:szCs w:val="24"/>
        </w:rPr>
        <w:tab/>
      </w:r>
      <w:r w:rsidR="004917BB" w:rsidRPr="004917BB">
        <w:rPr>
          <w:szCs w:val="24"/>
        </w:rPr>
        <w:t>Disallowances and penalties that have occurred</w:t>
      </w:r>
      <w:r w:rsidR="004917BB" w:rsidRPr="004917BB">
        <w:t xml:space="preserve"> </w:t>
      </w:r>
      <w:r w:rsidR="004917BB" w:rsidRPr="004917BB">
        <w:rPr>
          <w:szCs w:val="24"/>
        </w:rPr>
        <w:t>before year-end (June 30</w:t>
      </w:r>
      <w:r w:rsidR="004917BB">
        <w:rPr>
          <w:szCs w:val="24"/>
        </w:rPr>
        <w:t>)</w:t>
      </w:r>
      <w:r w:rsidR="00DE5EA8">
        <w:rPr>
          <w:szCs w:val="24"/>
        </w:rPr>
        <w:t>,</w:t>
      </w:r>
      <w:r w:rsidR="00010E73">
        <w:rPr>
          <w:szCs w:val="24"/>
        </w:rPr>
        <w:t xml:space="preserve"> but the liability is only</w:t>
      </w:r>
      <w:r w:rsidR="004917BB" w:rsidRPr="004917BB">
        <w:rPr>
          <w:szCs w:val="24"/>
        </w:rPr>
        <w:t xml:space="preserve"> </w:t>
      </w:r>
      <w:r w:rsidR="00180AA1">
        <w:rPr>
          <w:szCs w:val="24"/>
        </w:rPr>
        <w:t>reasonabl</w:t>
      </w:r>
      <w:r w:rsidR="00010E73">
        <w:rPr>
          <w:szCs w:val="24"/>
        </w:rPr>
        <w:t>y</w:t>
      </w:r>
      <w:r w:rsidR="00180AA1">
        <w:rPr>
          <w:szCs w:val="24"/>
        </w:rPr>
        <w:t xml:space="preserve"> </w:t>
      </w:r>
      <w:r w:rsidR="00010E73">
        <w:rPr>
          <w:szCs w:val="24"/>
        </w:rPr>
        <w:t>possible</w:t>
      </w:r>
      <w:r w:rsidR="00010E73">
        <w:rPr>
          <w:rStyle w:val="FootnoteReference"/>
          <w:szCs w:val="24"/>
        </w:rPr>
        <w:footnoteReference w:id="46"/>
      </w:r>
      <w:r w:rsidR="004917BB" w:rsidRPr="004917BB">
        <w:t xml:space="preserve"> </w:t>
      </w:r>
      <w:r w:rsidR="004917BB">
        <w:t xml:space="preserve">should </w:t>
      </w:r>
      <w:r w:rsidR="004917BB" w:rsidRPr="004917BB">
        <w:rPr>
          <w:szCs w:val="24"/>
        </w:rPr>
        <w:t>be disclosed</w:t>
      </w:r>
      <w:r w:rsidR="003B020F" w:rsidRPr="003B020F">
        <w:rPr>
          <w:szCs w:val="24"/>
        </w:rPr>
        <w:t xml:space="preserve"> </w:t>
      </w:r>
      <w:r w:rsidR="003B020F" w:rsidRPr="00180AA1">
        <w:rPr>
          <w:szCs w:val="24"/>
        </w:rPr>
        <w:t>by the A</w:t>
      </w:r>
      <w:r w:rsidR="005E0E8A">
        <w:rPr>
          <w:szCs w:val="24"/>
        </w:rPr>
        <w:t>C</w:t>
      </w:r>
      <w:r w:rsidR="003B020F" w:rsidRPr="00180AA1">
        <w:rPr>
          <w:szCs w:val="24"/>
        </w:rPr>
        <w:t>FR team</w:t>
      </w:r>
      <w:r w:rsidR="004917BB" w:rsidRPr="004917BB">
        <w:rPr>
          <w:szCs w:val="24"/>
        </w:rPr>
        <w:t xml:space="preserve"> in the notes to the financial statements.</w:t>
      </w:r>
      <w:r w:rsidR="003B020F">
        <w:rPr>
          <w:szCs w:val="24"/>
        </w:rPr>
        <w:t xml:space="preserve"> </w:t>
      </w:r>
    </w:p>
    <w:p w14:paraId="3F5E811D" w14:textId="45AD2C8E" w:rsidR="008B612C" w:rsidRDefault="008B612C" w:rsidP="008B612C">
      <w:pPr>
        <w:pStyle w:val="Bullet10"/>
        <w:spacing w:before="40" w:after="0"/>
        <w:ind w:left="1440" w:hanging="450"/>
        <w:rPr>
          <w:szCs w:val="24"/>
        </w:rPr>
      </w:pPr>
      <w:r w:rsidRPr="0099749D">
        <w:rPr>
          <w:szCs w:val="24"/>
        </w:rPr>
        <w:t>--</w:t>
      </w:r>
      <w:r>
        <w:rPr>
          <w:szCs w:val="24"/>
        </w:rPr>
        <w:tab/>
        <w:t>D</w:t>
      </w:r>
      <w:r w:rsidRPr="00EB17E6">
        <w:rPr>
          <w:szCs w:val="24"/>
        </w:rPr>
        <w:t>isallowances and penalties</w:t>
      </w:r>
      <w:r>
        <w:rPr>
          <w:szCs w:val="24"/>
        </w:rPr>
        <w:t xml:space="preserve"> that have occurred after </w:t>
      </w:r>
      <w:r w:rsidR="00DE5EA8">
        <w:rPr>
          <w:szCs w:val="24"/>
        </w:rPr>
        <w:t>year-end (</w:t>
      </w:r>
      <w:r>
        <w:rPr>
          <w:szCs w:val="24"/>
        </w:rPr>
        <w:t>June 30</w:t>
      </w:r>
      <w:r w:rsidR="00DE5EA8">
        <w:rPr>
          <w:szCs w:val="24"/>
        </w:rPr>
        <w:t>)</w:t>
      </w:r>
      <w:r>
        <w:rPr>
          <w:szCs w:val="24"/>
        </w:rPr>
        <w:t xml:space="preserve"> </w:t>
      </w:r>
      <w:r w:rsidRPr="00DE5EA8">
        <w:rPr>
          <w:i/>
          <w:iCs/>
          <w:szCs w:val="24"/>
        </w:rPr>
        <w:t>may</w:t>
      </w:r>
      <w:r>
        <w:rPr>
          <w:szCs w:val="24"/>
        </w:rPr>
        <w:t xml:space="preserve"> need to be disclosed</w:t>
      </w:r>
      <w:r w:rsidR="003B020F">
        <w:rPr>
          <w:szCs w:val="24"/>
        </w:rPr>
        <w:t xml:space="preserve"> </w:t>
      </w:r>
      <w:r w:rsidR="003B020F" w:rsidRPr="00180AA1">
        <w:rPr>
          <w:szCs w:val="24"/>
        </w:rPr>
        <w:t>by the A</w:t>
      </w:r>
      <w:r w:rsidR="005E0E8A">
        <w:rPr>
          <w:szCs w:val="24"/>
        </w:rPr>
        <w:t>C</w:t>
      </w:r>
      <w:r w:rsidR="003B020F" w:rsidRPr="00180AA1">
        <w:rPr>
          <w:szCs w:val="24"/>
        </w:rPr>
        <w:t>FR team</w:t>
      </w:r>
      <w:r>
        <w:rPr>
          <w:szCs w:val="24"/>
        </w:rPr>
        <w:t xml:space="preserve"> in the notes to the financial statements.</w:t>
      </w:r>
      <w:r w:rsidR="00957ABF">
        <w:rPr>
          <w:szCs w:val="24"/>
        </w:rPr>
        <w:t xml:space="preserve"> </w:t>
      </w:r>
    </w:p>
    <w:p w14:paraId="278C01E4" w14:textId="77777777" w:rsidR="001747B9" w:rsidRDefault="00EB17E6" w:rsidP="009B5881">
      <w:pPr>
        <w:pStyle w:val="Bullet10"/>
        <w:spacing w:before="40" w:after="0"/>
        <w:ind w:firstLine="0"/>
        <w:rPr>
          <w:szCs w:val="24"/>
        </w:rPr>
      </w:pPr>
      <w:r>
        <w:rPr>
          <w:szCs w:val="24"/>
        </w:rPr>
        <w:t>T</w:t>
      </w:r>
      <w:r w:rsidRPr="00EB17E6">
        <w:rPr>
          <w:szCs w:val="24"/>
        </w:rPr>
        <w:t>he subsequent events reporting package</w:t>
      </w:r>
      <w:r>
        <w:rPr>
          <w:szCs w:val="24"/>
        </w:rPr>
        <w:t xml:space="preserve"> will request a description of the situation, timing of when it was identified, </w:t>
      </w:r>
      <w:r w:rsidR="008B612C">
        <w:rPr>
          <w:szCs w:val="24"/>
        </w:rPr>
        <w:t>an estimate of the liability or estimate range or explanation why no estimate is available, and potential timing for payments (current</w:t>
      </w:r>
      <w:r w:rsidR="009B5881">
        <w:rPr>
          <w:rStyle w:val="FootnoteReference"/>
          <w:szCs w:val="24"/>
        </w:rPr>
        <w:footnoteReference w:id="47"/>
      </w:r>
      <w:r w:rsidR="008B612C">
        <w:rPr>
          <w:szCs w:val="24"/>
        </w:rPr>
        <w:t xml:space="preserve"> or non-current</w:t>
      </w:r>
      <w:r w:rsidR="009B5881">
        <w:rPr>
          <w:rStyle w:val="FootnoteReference"/>
          <w:szCs w:val="24"/>
        </w:rPr>
        <w:footnoteReference w:id="48"/>
      </w:r>
      <w:r w:rsidR="008B612C">
        <w:rPr>
          <w:szCs w:val="24"/>
        </w:rPr>
        <w:t>).</w:t>
      </w:r>
    </w:p>
    <w:p w14:paraId="41313ED3" w14:textId="77777777" w:rsidR="00574242" w:rsidRPr="0099749D" w:rsidRDefault="00574242" w:rsidP="009B5881">
      <w:pPr>
        <w:pStyle w:val="Bullet10"/>
        <w:spacing w:before="40" w:after="0"/>
        <w:ind w:hanging="360"/>
        <w:rPr>
          <w:szCs w:val="24"/>
        </w:rPr>
      </w:pPr>
      <w:r w:rsidRPr="0099749D">
        <w:rPr>
          <w:szCs w:val="24"/>
        </w:rPr>
        <w:t xml:space="preserve"> </w:t>
      </w:r>
    </w:p>
    <w:p w14:paraId="19440AEF" w14:textId="77777777" w:rsidR="0012040B" w:rsidRDefault="00CE1C4E" w:rsidP="003B02BA">
      <w:pPr>
        <w:pStyle w:val="Heading2"/>
      </w:pPr>
      <w:bookmarkStart w:id="307" w:name="_Toc296021468"/>
      <w:bookmarkStart w:id="308" w:name="_Toc296021557"/>
      <w:bookmarkStart w:id="309" w:name="_Toc296235449"/>
      <w:bookmarkStart w:id="310" w:name="_Toc296235550"/>
      <w:bookmarkStart w:id="311" w:name="_Toc296247839"/>
      <w:bookmarkStart w:id="312" w:name="_Toc166149285"/>
      <w:r w:rsidRPr="00CE1C4E">
        <w:t xml:space="preserve">Section _.15 </w:t>
      </w:r>
      <w:r w:rsidR="005D0457" w:rsidRPr="00CE1C4E">
        <w:t>C</w:t>
      </w:r>
      <w:r w:rsidRPr="00CE1C4E">
        <w:t>laims</w:t>
      </w:r>
      <w:bookmarkEnd w:id="307"/>
      <w:bookmarkEnd w:id="308"/>
      <w:bookmarkEnd w:id="309"/>
      <w:bookmarkEnd w:id="310"/>
      <w:bookmarkEnd w:id="311"/>
      <w:bookmarkEnd w:id="312"/>
    </w:p>
    <w:p w14:paraId="626423FA" w14:textId="77777777" w:rsidR="00574242" w:rsidRPr="0099749D" w:rsidRDefault="00574242" w:rsidP="00574242">
      <w:pPr>
        <w:rPr>
          <w:szCs w:val="24"/>
        </w:rPr>
      </w:pPr>
      <w:r w:rsidRPr="0099749D">
        <w:rPr>
          <w:szCs w:val="24"/>
        </w:rPr>
        <w:t>Settled claims that require the State to make future payments or suffer other future losses are liabilities.  GAAP require</w:t>
      </w:r>
      <w:r w:rsidR="00376749">
        <w:rPr>
          <w:szCs w:val="24"/>
        </w:rPr>
        <w:t>s</w:t>
      </w:r>
      <w:r w:rsidRPr="0099749D">
        <w:rPr>
          <w:szCs w:val="24"/>
        </w:rPr>
        <w:t xml:space="preserve"> the State to report material liabilities existing </w:t>
      </w:r>
      <w:proofErr w:type="gramStart"/>
      <w:r w:rsidRPr="0099749D">
        <w:rPr>
          <w:szCs w:val="24"/>
        </w:rPr>
        <w:t>at</w:t>
      </w:r>
      <w:proofErr w:type="gramEnd"/>
      <w:r w:rsidRPr="0099749D">
        <w:rPr>
          <w:szCs w:val="24"/>
        </w:rPr>
        <w:t xml:space="preserve"> June 30 on its financial statements.  These should be recorded in the general ledger.  </w:t>
      </w:r>
    </w:p>
    <w:p w14:paraId="36C50DA8" w14:textId="77777777" w:rsidR="00574242" w:rsidRPr="0099749D" w:rsidRDefault="00574242" w:rsidP="00574242">
      <w:pPr>
        <w:spacing w:after="40"/>
        <w:rPr>
          <w:szCs w:val="24"/>
        </w:rPr>
      </w:pPr>
      <w:r w:rsidRPr="0099749D">
        <w:rPr>
          <w:szCs w:val="24"/>
        </w:rPr>
        <w:t>GAAP requirements relating to claims appear in:</w:t>
      </w:r>
    </w:p>
    <w:p w14:paraId="40A9A5B8" w14:textId="77777777" w:rsidR="00574242" w:rsidRPr="0099749D" w:rsidRDefault="00574242" w:rsidP="00574242">
      <w:pPr>
        <w:pStyle w:val="Bullet10"/>
        <w:spacing w:before="40" w:after="40"/>
        <w:rPr>
          <w:szCs w:val="24"/>
        </w:rPr>
      </w:pPr>
      <w:r w:rsidRPr="0099749D">
        <w:rPr>
          <w:szCs w:val="24"/>
        </w:rPr>
        <w:t>o</w:t>
      </w:r>
      <w:r w:rsidRPr="0099749D">
        <w:rPr>
          <w:szCs w:val="24"/>
        </w:rPr>
        <w:tab/>
      </w:r>
      <w:r w:rsidRPr="0099749D">
        <w:rPr>
          <w:i/>
          <w:iCs/>
          <w:szCs w:val="24"/>
        </w:rPr>
        <w:t>Governmental Accounting Standards Board (GASB) Codification</w:t>
      </w:r>
      <w:r w:rsidRPr="0099749D">
        <w:rPr>
          <w:szCs w:val="24"/>
        </w:rPr>
        <w:t xml:space="preserve"> Sections 1500.101 through .108, 1600.129, and C50.101 through .149.  </w:t>
      </w:r>
    </w:p>
    <w:p w14:paraId="47476CD1" w14:textId="77777777" w:rsidR="00574242" w:rsidRPr="0099749D" w:rsidRDefault="00574242" w:rsidP="00574242">
      <w:pPr>
        <w:pStyle w:val="Bullet10"/>
        <w:spacing w:before="40" w:after="40"/>
        <w:rPr>
          <w:szCs w:val="24"/>
        </w:rPr>
      </w:pPr>
      <w:r w:rsidRPr="0099749D">
        <w:rPr>
          <w:szCs w:val="24"/>
        </w:rPr>
        <w:t>o</w:t>
      </w:r>
      <w:r w:rsidRPr="0099749D">
        <w:rPr>
          <w:szCs w:val="24"/>
        </w:rPr>
        <w:tab/>
        <w:t xml:space="preserve">AICPA's Accounting and Audit Guide </w:t>
      </w:r>
      <w:r w:rsidRPr="0099749D">
        <w:rPr>
          <w:i/>
          <w:iCs/>
          <w:szCs w:val="24"/>
        </w:rPr>
        <w:t>Audits of State and Local Government Units</w:t>
      </w:r>
      <w:r w:rsidRPr="0099749D">
        <w:rPr>
          <w:szCs w:val="24"/>
        </w:rPr>
        <w:t xml:space="preserve">. </w:t>
      </w:r>
    </w:p>
    <w:p w14:paraId="1A267A20" w14:textId="77777777" w:rsidR="00574242" w:rsidRPr="0099749D" w:rsidRDefault="00574242" w:rsidP="00574242">
      <w:pPr>
        <w:pStyle w:val="Bullet10"/>
        <w:spacing w:before="40" w:after="40"/>
        <w:rPr>
          <w:szCs w:val="24"/>
        </w:rPr>
      </w:pPr>
      <w:r w:rsidRPr="0099749D">
        <w:rPr>
          <w:szCs w:val="24"/>
        </w:rPr>
        <w:t>o</w:t>
      </w:r>
      <w:r w:rsidRPr="0099749D">
        <w:rPr>
          <w:szCs w:val="24"/>
        </w:rPr>
        <w:tab/>
        <w:t xml:space="preserve">Financial Accounting Standards Board (FASB) Statement 5, </w:t>
      </w:r>
      <w:r w:rsidRPr="0099749D">
        <w:rPr>
          <w:i/>
          <w:iCs/>
          <w:szCs w:val="24"/>
        </w:rPr>
        <w:t xml:space="preserve">Accounting </w:t>
      </w:r>
      <w:proofErr w:type="gramStart"/>
      <w:r w:rsidRPr="0099749D">
        <w:rPr>
          <w:i/>
          <w:iCs/>
          <w:szCs w:val="24"/>
        </w:rPr>
        <w:t>For</w:t>
      </w:r>
      <w:proofErr w:type="gramEnd"/>
      <w:r w:rsidRPr="0099749D">
        <w:rPr>
          <w:i/>
          <w:iCs/>
          <w:szCs w:val="24"/>
        </w:rPr>
        <w:t xml:space="preserve"> Contingencies</w:t>
      </w:r>
      <w:r w:rsidRPr="0099749D">
        <w:rPr>
          <w:szCs w:val="24"/>
        </w:rPr>
        <w:t xml:space="preserve"> as revised and interpreted.</w:t>
      </w:r>
      <w:r w:rsidRPr="0099749D">
        <w:rPr>
          <w:rStyle w:val="FootnoteReference"/>
          <w:szCs w:val="24"/>
        </w:rPr>
        <w:footnoteReference w:id="49"/>
      </w:r>
    </w:p>
    <w:p w14:paraId="5127DC30" w14:textId="77777777" w:rsidR="00574242" w:rsidRPr="0099749D" w:rsidRDefault="00574242" w:rsidP="005C2F33">
      <w:pPr>
        <w:pStyle w:val="Bullet10"/>
        <w:numPr>
          <w:ilvl w:val="0"/>
          <w:numId w:val="22"/>
        </w:numPr>
        <w:spacing w:before="40" w:after="40"/>
        <w:rPr>
          <w:szCs w:val="24"/>
        </w:rPr>
      </w:pPr>
      <w:r w:rsidRPr="0099749D">
        <w:rPr>
          <w:szCs w:val="24"/>
        </w:rPr>
        <w:t xml:space="preserve">GASB Statement No. 10, </w:t>
      </w:r>
      <w:r w:rsidRPr="0099749D">
        <w:rPr>
          <w:i/>
          <w:iCs/>
          <w:szCs w:val="24"/>
        </w:rPr>
        <w:t>Accounting and Financial Reporting for Risk Financing and Related Insurance Issues</w:t>
      </w:r>
      <w:r w:rsidRPr="0099749D">
        <w:rPr>
          <w:szCs w:val="24"/>
        </w:rPr>
        <w:t xml:space="preserve"> as amended by GASB Statement No. 34.</w:t>
      </w:r>
    </w:p>
    <w:p w14:paraId="013710FB" w14:textId="77777777" w:rsidR="00574242" w:rsidRPr="0099749D" w:rsidRDefault="00574242" w:rsidP="005C2F33">
      <w:pPr>
        <w:pStyle w:val="Bullet10"/>
        <w:numPr>
          <w:ilvl w:val="0"/>
          <w:numId w:val="21"/>
        </w:numPr>
        <w:spacing w:before="40"/>
        <w:rPr>
          <w:szCs w:val="24"/>
        </w:rPr>
      </w:pPr>
      <w:r w:rsidRPr="0099749D">
        <w:rPr>
          <w:szCs w:val="24"/>
        </w:rPr>
        <w:t xml:space="preserve">GASB Statement No. 34, </w:t>
      </w:r>
      <w:r w:rsidRPr="0099749D">
        <w:rPr>
          <w:i/>
          <w:iCs/>
          <w:szCs w:val="24"/>
        </w:rPr>
        <w:t>Basic Financial Statements – and Management’s Discussion and Analysis—for State and Local Governments</w:t>
      </w:r>
      <w:r w:rsidRPr="0099749D">
        <w:rPr>
          <w:szCs w:val="24"/>
        </w:rPr>
        <w:t>.</w:t>
      </w:r>
    </w:p>
    <w:p w14:paraId="3893241B" w14:textId="77777777" w:rsidR="00574242" w:rsidRPr="0099749D" w:rsidRDefault="00574242" w:rsidP="00EF39D1">
      <w:pPr>
        <w:keepLines/>
        <w:rPr>
          <w:szCs w:val="24"/>
        </w:rPr>
      </w:pPr>
      <w:r w:rsidRPr="0099749D">
        <w:rPr>
          <w:i/>
          <w:iCs/>
          <w:szCs w:val="24"/>
        </w:rPr>
        <w:t>Governmental Accounting Standards Board (GASB) Codification</w:t>
      </w:r>
      <w:r w:rsidR="002513F7">
        <w:rPr>
          <w:szCs w:val="24"/>
        </w:rPr>
        <w:t xml:space="preserve"> </w:t>
      </w:r>
      <w:r w:rsidRPr="0099749D">
        <w:rPr>
          <w:szCs w:val="24"/>
        </w:rPr>
        <w:t>Section 2200.11</w:t>
      </w:r>
      <w:r w:rsidR="00376749">
        <w:rPr>
          <w:szCs w:val="24"/>
        </w:rPr>
        <w:t>6 requires that liabilities of governmental, enterprise, and internal service f</w:t>
      </w:r>
      <w:r w:rsidRPr="0099749D">
        <w:rPr>
          <w:szCs w:val="24"/>
        </w:rPr>
        <w:t>unds with maturities greater than one year be reported in two components in the government-wide financial statements</w:t>
      </w:r>
      <w:proofErr w:type="gramStart"/>
      <w:r w:rsidRPr="0099749D">
        <w:rPr>
          <w:szCs w:val="24"/>
        </w:rPr>
        <w:t>—“</w:t>
      </w:r>
      <w:proofErr w:type="gramEnd"/>
      <w:r w:rsidRPr="0099749D">
        <w:rPr>
          <w:szCs w:val="24"/>
        </w:rPr>
        <w:t>the amount due within one year and the amount due in mor</w:t>
      </w:r>
      <w:r w:rsidR="00376749">
        <w:rPr>
          <w:szCs w:val="24"/>
        </w:rPr>
        <w:t>e than one year.”  Enterprise, internal service, and trust f</w:t>
      </w:r>
      <w:r w:rsidRPr="0099749D">
        <w:rPr>
          <w:szCs w:val="24"/>
        </w:rPr>
        <w:t xml:space="preserve">unds are reported in a similar manner within the fund financial statements.  </w:t>
      </w:r>
    </w:p>
    <w:p w14:paraId="7FDCFF1D" w14:textId="77777777" w:rsidR="00574242" w:rsidRPr="0099749D" w:rsidRDefault="00376749" w:rsidP="00574242">
      <w:pPr>
        <w:rPr>
          <w:szCs w:val="24"/>
        </w:rPr>
      </w:pPr>
      <w:r>
        <w:rPr>
          <w:szCs w:val="24"/>
        </w:rPr>
        <w:t>The reporting of g</w:t>
      </w:r>
      <w:r w:rsidR="00574242" w:rsidRPr="0099749D">
        <w:rPr>
          <w:szCs w:val="24"/>
        </w:rPr>
        <w:t>overnmental funds in the fund financial statements, however, is governed by Codification S</w:t>
      </w:r>
      <w:r>
        <w:rPr>
          <w:szCs w:val="24"/>
        </w:rPr>
        <w:t>ection 1600.129, which defines g</w:t>
      </w:r>
      <w:r w:rsidR="00574242" w:rsidRPr="0099749D">
        <w:rPr>
          <w:szCs w:val="24"/>
        </w:rPr>
        <w:t>overnmental fund current liabilities as “the amount left unpaid at the end of the reporting period that normally would be liquidated with expendable available financial resourc</w:t>
      </w:r>
      <w:r>
        <w:rPr>
          <w:szCs w:val="24"/>
        </w:rPr>
        <w:t xml:space="preserve">es.”  </w:t>
      </w:r>
      <w:r>
        <w:rPr>
          <w:szCs w:val="24"/>
        </w:rPr>
        <w:lastRenderedPageBreak/>
        <w:t>Long-term liabilities of governmental f</w:t>
      </w:r>
      <w:r w:rsidR="00574242" w:rsidRPr="0099749D">
        <w:rPr>
          <w:szCs w:val="24"/>
        </w:rPr>
        <w:t xml:space="preserve">unds are recorded only in the government-wide financial statements, not in the fund financial statements.  </w:t>
      </w:r>
    </w:p>
    <w:p w14:paraId="5C340900" w14:textId="77777777" w:rsidR="00574242" w:rsidRPr="0099749D" w:rsidRDefault="00376749" w:rsidP="00574242">
      <w:pPr>
        <w:rPr>
          <w:szCs w:val="24"/>
        </w:rPr>
      </w:pPr>
      <w:r>
        <w:rPr>
          <w:szCs w:val="24"/>
        </w:rPr>
        <w:t>Liabilities of t</w:t>
      </w:r>
      <w:r w:rsidR="00574242" w:rsidRPr="0099749D">
        <w:rPr>
          <w:szCs w:val="24"/>
        </w:rPr>
        <w:t>ru</w:t>
      </w:r>
      <w:r>
        <w:rPr>
          <w:szCs w:val="24"/>
        </w:rPr>
        <w:t>st and agency f</w:t>
      </w:r>
      <w:r w:rsidR="00574242" w:rsidRPr="0099749D">
        <w:rPr>
          <w:szCs w:val="24"/>
        </w:rPr>
        <w:t>unds are recorded only in the fund financial statements, not in the government-wide financial statements.</w:t>
      </w:r>
    </w:p>
    <w:p w14:paraId="534A1C71" w14:textId="77777777" w:rsidR="00574242" w:rsidRPr="0099749D" w:rsidRDefault="00574242" w:rsidP="00574242">
      <w:pPr>
        <w:spacing w:after="40"/>
        <w:rPr>
          <w:szCs w:val="24"/>
        </w:rPr>
      </w:pPr>
      <w:r w:rsidRPr="0099749D">
        <w:rPr>
          <w:szCs w:val="24"/>
        </w:rPr>
        <w:t>GAAP require</w:t>
      </w:r>
      <w:r w:rsidR="00376749">
        <w:rPr>
          <w:szCs w:val="24"/>
        </w:rPr>
        <w:t>s</w:t>
      </w:r>
      <w:r w:rsidRPr="0099749D">
        <w:rPr>
          <w:szCs w:val="24"/>
        </w:rPr>
        <w:t xml:space="preserve"> that the State record liabilities for the estimated future costs of </w:t>
      </w:r>
      <w:r w:rsidR="00376749">
        <w:rPr>
          <w:szCs w:val="24"/>
        </w:rPr>
        <w:t>un</w:t>
      </w:r>
      <w:r w:rsidRPr="0099749D">
        <w:rPr>
          <w:szCs w:val="24"/>
        </w:rPr>
        <w:t xml:space="preserve">insured events </w:t>
      </w:r>
      <w:r w:rsidR="00376749">
        <w:rPr>
          <w:szCs w:val="24"/>
        </w:rPr>
        <w:t xml:space="preserve">(or the uninsured portions of events) </w:t>
      </w:r>
      <w:r w:rsidRPr="0099749D">
        <w:rPr>
          <w:szCs w:val="24"/>
        </w:rPr>
        <w:t xml:space="preserve">that occurred on or before June 30 if it is probable that an asset has been </w:t>
      </w:r>
      <w:proofErr w:type="gramStart"/>
      <w:r w:rsidRPr="0099749D">
        <w:rPr>
          <w:szCs w:val="24"/>
        </w:rPr>
        <w:t>impaired</w:t>
      </w:r>
      <w:proofErr w:type="gramEnd"/>
      <w:r w:rsidRPr="0099749D">
        <w:rPr>
          <w:szCs w:val="24"/>
        </w:rPr>
        <w:t xml:space="preserve"> or a liability has been incurred as of that date and the loss amount can be reasonably estimated.  GAAP further requires the State to report two components of this estimated cost:</w:t>
      </w:r>
    </w:p>
    <w:p w14:paraId="5D31F3EA" w14:textId="77777777" w:rsidR="00574242" w:rsidRPr="0099749D" w:rsidRDefault="00574242" w:rsidP="00574242">
      <w:pPr>
        <w:pStyle w:val="Bullet10"/>
        <w:spacing w:before="40" w:after="40"/>
        <w:rPr>
          <w:szCs w:val="24"/>
        </w:rPr>
      </w:pPr>
      <w:r w:rsidRPr="0099749D">
        <w:rPr>
          <w:szCs w:val="24"/>
        </w:rPr>
        <w:t>o</w:t>
      </w:r>
      <w:r w:rsidRPr="0099749D">
        <w:rPr>
          <w:szCs w:val="24"/>
        </w:rPr>
        <w:tab/>
        <w:t xml:space="preserve">Cost of </w:t>
      </w:r>
      <w:r w:rsidRPr="0099749D">
        <w:rPr>
          <w:szCs w:val="24"/>
          <w:u w:val="single"/>
        </w:rPr>
        <w:t>claims known but not paid</w:t>
      </w:r>
      <w:r w:rsidRPr="0099749D">
        <w:rPr>
          <w:szCs w:val="24"/>
        </w:rPr>
        <w:t xml:space="preserve"> </w:t>
      </w:r>
      <w:proofErr w:type="gramStart"/>
      <w:r w:rsidRPr="0099749D">
        <w:rPr>
          <w:szCs w:val="24"/>
        </w:rPr>
        <w:t>at</w:t>
      </w:r>
      <w:proofErr w:type="gramEnd"/>
      <w:r w:rsidRPr="0099749D">
        <w:rPr>
          <w:szCs w:val="24"/>
        </w:rPr>
        <w:t xml:space="preserve"> June 30.</w:t>
      </w:r>
    </w:p>
    <w:p w14:paraId="6067422E" w14:textId="77777777" w:rsidR="00574242" w:rsidRPr="0099749D" w:rsidRDefault="00574242" w:rsidP="00574242">
      <w:pPr>
        <w:pStyle w:val="Bullet10"/>
        <w:spacing w:before="40"/>
        <w:rPr>
          <w:szCs w:val="24"/>
        </w:rPr>
      </w:pPr>
      <w:r w:rsidRPr="0099749D">
        <w:rPr>
          <w:szCs w:val="24"/>
        </w:rPr>
        <w:t>o</w:t>
      </w:r>
      <w:r w:rsidRPr="0099749D">
        <w:rPr>
          <w:szCs w:val="24"/>
        </w:rPr>
        <w:tab/>
        <w:t xml:space="preserve">Estimate of claims </w:t>
      </w:r>
      <w:r w:rsidRPr="0099749D">
        <w:rPr>
          <w:szCs w:val="24"/>
          <w:u w:val="single"/>
        </w:rPr>
        <w:t>incurred but not reported</w:t>
      </w:r>
      <w:r w:rsidRPr="0099749D">
        <w:rPr>
          <w:szCs w:val="24"/>
        </w:rPr>
        <w:t xml:space="preserve"> </w:t>
      </w:r>
      <w:proofErr w:type="gramStart"/>
      <w:r w:rsidRPr="0099749D">
        <w:rPr>
          <w:szCs w:val="24"/>
        </w:rPr>
        <w:t>at</w:t>
      </w:r>
      <w:proofErr w:type="gramEnd"/>
      <w:r w:rsidRPr="0099749D">
        <w:rPr>
          <w:szCs w:val="24"/>
        </w:rPr>
        <w:t xml:space="preserve"> June 30.</w:t>
      </w:r>
    </w:p>
    <w:p w14:paraId="7462C74F" w14:textId="77777777" w:rsidR="00574242" w:rsidRPr="0099749D" w:rsidRDefault="00574242" w:rsidP="00574242">
      <w:pPr>
        <w:spacing w:after="40"/>
        <w:rPr>
          <w:szCs w:val="24"/>
        </w:rPr>
      </w:pPr>
      <w:r w:rsidRPr="0099749D">
        <w:rPr>
          <w:szCs w:val="24"/>
        </w:rPr>
        <w:t>GASB Codification Section C50.114 states:</w:t>
      </w:r>
    </w:p>
    <w:p w14:paraId="0C85116C" w14:textId="77777777" w:rsidR="00574242" w:rsidRPr="0099749D" w:rsidRDefault="00574242" w:rsidP="00574242">
      <w:pPr>
        <w:pStyle w:val="Quote1"/>
        <w:rPr>
          <w:szCs w:val="24"/>
        </w:rPr>
      </w:pPr>
      <w:r w:rsidRPr="0099749D">
        <w:rPr>
          <w:szCs w:val="24"/>
        </w:rPr>
        <w:t xml:space="preserve">Expenditures/expenses and liabilities may be estimated through a case-by-case review of all claims, the application of historical experience to the outstanding claims, or a combination of these methods.  Estimates of </w:t>
      </w:r>
      <w:r w:rsidR="00376749">
        <w:rPr>
          <w:szCs w:val="24"/>
        </w:rPr>
        <w:t>incurred but not reported (</w:t>
      </w:r>
      <w:r w:rsidRPr="0099749D">
        <w:rPr>
          <w:szCs w:val="24"/>
        </w:rPr>
        <w:t>IBNR</w:t>
      </w:r>
      <w:r w:rsidR="00376749">
        <w:rPr>
          <w:szCs w:val="24"/>
        </w:rPr>
        <w:t>)</w:t>
      </w:r>
      <w:r w:rsidRPr="0099749D">
        <w:rPr>
          <w:szCs w:val="24"/>
        </w:rPr>
        <w:t xml:space="preserve"> losses should be based on historical experience.  When historical experience is used, the outstanding claims should be stratified by amount </w:t>
      </w:r>
      <w:r w:rsidRPr="0099749D">
        <w:rPr>
          <w:szCs w:val="24"/>
          <w:u w:val="words"/>
        </w:rPr>
        <w:t>and</w:t>
      </w:r>
      <w:r w:rsidRPr="0099749D">
        <w:rPr>
          <w:szCs w:val="24"/>
        </w:rPr>
        <w:t xml:space="preserve"> type of claim, and the strata should be sufficiently refined to ensure that the estimation is reasonable.</w:t>
      </w:r>
    </w:p>
    <w:p w14:paraId="67FA091D" w14:textId="77777777" w:rsidR="00574242" w:rsidRPr="0099749D" w:rsidRDefault="00574242" w:rsidP="00574242">
      <w:pPr>
        <w:keepNext/>
        <w:spacing w:after="40"/>
        <w:rPr>
          <w:szCs w:val="24"/>
        </w:rPr>
      </w:pPr>
      <w:r w:rsidRPr="0099749D">
        <w:rPr>
          <w:szCs w:val="24"/>
        </w:rPr>
        <w:t xml:space="preserve">Events that will materially change future claims costs may occur after June 30 but before the State issues its financial statements.  Such events are </w:t>
      </w:r>
      <w:r w:rsidR="00464CBE">
        <w:rPr>
          <w:szCs w:val="24"/>
        </w:rPr>
        <w:t xml:space="preserve">reviewed for </w:t>
      </w:r>
      <w:r w:rsidRPr="0099749D">
        <w:rPr>
          <w:szCs w:val="24"/>
        </w:rPr>
        <w:t>subsequent events</w:t>
      </w:r>
      <w:r w:rsidR="00464CBE">
        <w:rPr>
          <w:szCs w:val="24"/>
        </w:rPr>
        <w:t xml:space="preserve"> reporting</w:t>
      </w:r>
      <w:r w:rsidRPr="0099749D">
        <w:rPr>
          <w:szCs w:val="24"/>
        </w:rPr>
        <w:t xml:space="preserve">.  GAAP </w:t>
      </w:r>
      <w:r w:rsidR="00376749">
        <w:rPr>
          <w:szCs w:val="24"/>
        </w:rPr>
        <w:t xml:space="preserve">guidance </w:t>
      </w:r>
      <w:r w:rsidRPr="0099749D">
        <w:rPr>
          <w:szCs w:val="24"/>
        </w:rPr>
        <w:t>for subsequent events appears in:</w:t>
      </w:r>
    </w:p>
    <w:p w14:paraId="7E3C962B" w14:textId="77777777" w:rsidR="00574242" w:rsidRPr="0099749D" w:rsidRDefault="00574242" w:rsidP="00574242">
      <w:pPr>
        <w:pStyle w:val="Bullet10"/>
        <w:keepNext/>
        <w:spacing w:before="40" w:after="40"/>
        <w:rPr>
          <w:szCs w:val="24"/>
        </w:rPr>
      </w:pPr>
      <w:r w:rsidRPr="0099749D">
        <w:rPr>
          <w:szCs w:val="24"/>
        </w:rPr>
        <w:t>o</w:t>
      </w:r>
      <w:r w:rsidRPr="0099749D">
        <w:rPr>
          <w:szCs w:val="24"/>
        </w:rPr>
        <w:tab/>
        <w:t>GASB Codification Sections 2300.106 and C50.145.</w:t>
      </w:r>
    </w:p>
    <w:p w14:paraId="7559DA64" w14:textId="77777777" w:rsidR="00574242" w:rsidRPr="0099749D" w:rsidRDefault="00574242" w:rsidP="00574242">
      <w:pPr>
        <w:pStyle w:val="Bullet10"/>
        <w:keepLines/>
        <w:spacing w:before="40"/>
        <w:rPr>
          <w:szCs w:val="24"/>
        </w:rPr>
      </w:pPr>
      <w:r w:rsidRPr="0099749D">
        <w:rPr>
          <w:szCs w:val="24"/>
        </w:rPr>
        <w:t>o</w:t>
      </w:r>
      <w:r w:rsidRPr="0099749D">
        <w:rPr>
          <w:szCs w:val="24"/>
        </w:rPr>
        <w:tab/>
        <w:t xml:space="preserve">GASB 56 </w:t>
      </w:r>
      <w:r w:rsidRPr="0099749D">
        <w:rPr>
          <w:i/>
          <w:szCs w:val="24"/>
        </w:rPr>
        <w:t xml:space="preserve">Codification of Accounting and Financial Reporting Guidance Contained in the AICPA Statements on Auditing Standards </w:t>
      </w:r>
      <w:r w:rsidRPr="0099749D">
        <w:rPr>
          <w:szCs w:val="24"/>
        </w:rPr>
        <w:t xml:space="preserve">incorporated guidance previously issued as Statements on Auditing Standards (SAS's) and related interpretations as authoritative GASB pronouncements.  </w:t>
      </w:r>
    </w:p>
    <w:p w14:paraId="131C2864" w14:textId="77777777" w:rsidR="006E09D9" w:rsidRDefault="00574242" w:rsidP="006E09D9">
      <w:pPr>
        <w:pStyle w:val="Heading3"/>
      </w:pPr>
      <w:bookmarkStart w:id="313" w:name="_Toc296247840"/>
      <w:bookmarkStart w:id="314" w:name="_Toc166149286"/>
      <w:bookmarkStart w:id="315" w:name="_Toc296021469"/>
      <w:bookmarkStart w:id="316" w:name="_Toc296021558"/>
      <w:bookmarkStart w:id="317" w:name="_Toc296235450"/>
      <w:bookmarkStart w:id="318" w:name="_Toc296235551"/>
      <w:r w:rsidRPr="0099749D">
        <w:t>State Policies</w:t>
      </w:r>
      <w:bookmarkEnd w:id="313"/>
      <w:bookmarkEnd w:id="314"/>
    </w:p>
    <w:p w14:paraId="3A4633C2" w14:textId="77777777" w:rsidR="00574242" w:rsidRPr="0099749D" w:rsidRDefault="00574242" w:rsidP="006E09D9">
      <w:pPr>
        <w:pStyle w:val="Heading4"/>
      </w:pPr>
      <w:r w:rsidRPr="0099749D">
        <w:t>General</w:t>
      </w:r>
      <w:bookmarkEnd w:id="315"/>
      <w:bookmarkEnd w:id="316"/>
      <w:bookmarkEnd w:id="317"/>
      <w:bookmarkEnd w:id="318"/>
    </w:p>
    <w:p w14:paraId="323C727E" w14:textId="77777777" w:rsidR="00574242" w:rsidRPr="0099749D" w:rsidRDefault="00574242" w:rsidP="00574242">
      <w:pPr>
        <w:spacing w:after="40"/>
        <w:rPr>
          <w:szCs w:val="24"/>
        </w:rPr>
      </w:pPr>
      <w:r w:rsidRPr="0099749D">
        <w:rPr>
          <w:szCs w:val="24"/>
        </w:rPr>
        <w:t xml:space="preserve">It is the State's policy to report claims liabilities on its financial statements if it is probable that an asset has been </w:t>
      </w:r>
      <w:proofErr w:type="gramStart"/>
      <w:r w:rsidRPr="0099749D">
        <w:rPr>
          <w:szCs w:val="24"/>
        </w:rPr>
        <w:t>impaired</w:t>
      </w:r>
      <w:proofErr w:type="gramEnd"/>
      <w:r w:rsidRPr="0099749D">
        <w:rPr>
          <w:szCs w:val="24"/>
        </w:rPr>
        <w:t xml:space="preserve"> or a liability has been incurred as of June 30 and the loss amount can be reasonably estimated</w:t>
      </w:r>
      <w:r w:rsidR="00376749">
        <w:rPr>
          <w:szCs w:val="24"/>
        </w:rPr>
        <w:t xml:space="preserve"> (net of anticipated insurance payments)</w:t>
      </w:r>
      <w:r w:rsidRPr="0099749D">
        <w:rPr>
          <w:szCs w:val="24"/>
        </w:rPr>
        <w:t xml:space="preserve">.  These liabilities will include the estimated future costs of all covered events that occurred on or before June 30.  The State’s claims liabilities include: </w:t>
      </w:r>
    </w:p>
    <w:p w14:paraId="54011D85" w14:textId="77777777" w:rsidR="00574242" w:rsidRPr="0099749D" w:rsidRDefault="00574242" w:rsidP="00574242">
      <w:pPr>
        <w:pStyle w:val="Bullet10"/>
        <w:spacing w:before="40" w:after="40"/>
        <w:rPr>
          <w:szCs w:val="24"/>
        </w:rPr>
      </w:pPr>
      <w:r w:rsidRPr="0099749D">
        <w:rPr>
          <w:szCs w:val="24"/>
        </w:rPr>
        <w:t>o</w:t>
      </w:r>
      <w:r w:rsidRPr="0099749D">
        <w:rPr>
          <w:szCs w:val="24"/>
        </w:rPr>
        <w:tab/>
        <w:t>Claims known but not paid.</w:t>
      </w:r>
    </w:p>
    <w:p w14:paraId="49D657AD" w14:textId="77777777" w:rsidR="00574242" w:rsidRPr="0099749D" w:rsidRDefault="00574242" w:rsidP="00574242">
      <w:pPr>
        <w:pStyle w:val="Bullet10"/>
        <w:spacing w:before="40"/>
        <w:rPr>
          <w:szCs w:val="24"/>
        </w:rPr>
      </w:pPr>
      <w:r w:rsidRPr="0099749D">
        <w:rPr>
          <w:szCs w:val="24"/>
        </w:rPr>
        <w:t>o</w:t>
      </w:r>
      <w:r w:rsidRPr="0099749D">
        <w:rPr>
          <w:szCs w:val="24"/>
        </w:rPr>
        <w:tab/>
      </w:r>
      <w:r w:rsidR="00376749">
        <w:rPr>
          <w:szCs w:val="24"/>
        </w:rPr>
        <w:t>Claims i</w:t>
      </w:r>
      <w:r w:rsidRPr="0099749D">
        <w:rPr>
          <w:szCs w:val="24"/>
        </w:rPr>
        <w:t>ncurred but not reported.</w:t>
      </w:r>
    </w:p>
    <w:p w14:paraId="3EEE51F4" w14:textId="77777777" w:rsidR="00574242" w:rsidRPr="0099749D" w:rsidRDefault="00574242" w:rsidP="00574242">
      <w:pPr>
        <w:spacing w:after="40"/>
        <w:rPr>
          <w:szCs w:val="24"/>
        </w:rPr>
      </w:pPr>
      <w:r w:rsidRPr="0099749D">
        <w:rPr>
          <w:szCs w:val="24"/>
        </w:rPr>
        <w:t>Agencies may estimate liabilities through:</w:t>
      </w:r>
    </w:p>
    <w:p w14:paraId="57CAC9C4" w14:textId="77777777" w:rsidR="00574242" w:rsidRPr="0099749D" w:rsidRDefault="00574242" w:rsidP="00574242">
      <w:pPr>
        <w:pStyle w:val="Bullet10"/>
        <w:spacing w:before="40" w:after="40"/>
        <w:rPr>
          <w:szCs w:val="24"/>
        </w:rPr>
      </w:pPr>
      <w:r w:rsidRPr="0099749D">
        <w:rPr>
          <w:szCs w:val="24"/>
        </w:rPr>
        <w:t>o</w:t>
      </w:r>
      <w:r w:rsidRPr="0099749D">
        <w:rPr>
          <w:szCs w:val="24"/>
        </w:rPr>
        <w:tab/>
        <w:t xml:space="preserve">A case-by-case review of all claims. </w:t>
      </w:r>
    </w:p>
    <w:p w14:paraId="19AB5306" w14:textId="77777777" w:rsidR="00574242" w:rsidRPr="0099749D" w:rsidRDefault="00574242" w:rsidP="00574242">
      <w:pPr>
        <w:pStyle w:val="Bullet10"/>
        <w:spacing w:before="40" w:after="40"/>
        <w:rPr>
          <w:szCs w:val="24"/>
        </w:rPr>
      </w:pPr>
      <w:r w:rsidRPr="0099749D">
        <w:rPr>
          <w:szCs w:val="24"/>
        </w:rPr>
        <w:t>o</w:t>
      </w:r>
      <w:r w:rsidRPr="0099749D">
        <w:rPr>
          <w:szCs w:val="24"/>
        </w:rPr>
        <w:tab/>
      </w:r>
      <w:proofErr w:type="gramStart"/>
      <w:r w:rsidRPr="0099749D">
        <w:rPr>
          <w:szCs w:val="24"/>
        </w:rPr>
        <w:t>The</w:t>
      </w:r>
      <w:proofErr w:type="gramEnd"/>
      <w:r w:rsidRPr="0099749D">
        <w:rPr>
          <w:szCs w:val="24"/>
        </w:rPr>
        <w:t xml:space="preserve"> application of historical experience to the outstanding claims.</w:t>
      </w:r>
    </w:p>
    <w:p w14:paraId="5C9CD975" w14:textId="77777777" w:rsidR="00574242" w:rsidRPr="0099749D" w:rsidRDefault="00574242" w:rsidP="00574242">
      <w:pPr>
        <w:pStyle w:val="Bullet10"/>
        <w:spacing w:before="40"/>
        <w:rPr>
          <w:szCs w:val="24"/>
        </w:rPr>
      </w:pPr>
      <w:r w:rsidRPr="0099749D">
        <w:rPr>
          <w:szCs w:val="24"/>
        </w:rPr>
        <w:t>o</w:t>
      </w:r>
      <w:r w:rsidRPr="0099749D">
        <w:rPr>
          <w:szCs w:val="24"/>
        </w:rPr>
        <w:tab/>
        <w:t xml:space="preserve">A combination of these methods.  </w:t>
      </w:r>
    </w:p>
    <w:p w14:paraId="084F33E6" w14:textId="77777777" w:rsidR="00574242" w:rsidRPr="0099749D" w:rsidRDefault="00574242" w:rsidP="00574242">
      <w:pPr>
        <w:rPr>
          <w:szCs w:val="24"/>
        </w:rPr>
      </w:pPr>
      <w:r w:rsidRPr="0099749D">
        <w:rPr>
          <w:szCs w:val="24"/>
        </w:rPr>
        <w:lastRenderedPageBreak/>
        <w:t>When agencies use historical experience, they should stratify the outstanding claims by amount and type of claim.  Agencies should refine these strata enough to ensure that the estimation is reasonable.</w:t>
      </w:r>
    </w:p>
    <w:p w14:paraId="6186C296" w14:textId="77777777" w:rsidR="00574242" w:rsidRPr="0099749D" w:rsidRDefault="00574242" w:rsidP="00574242">
      <w:pPr>
        <w:rPr>
          <w:szCs w:val="24"/>
        </w:rPr>
      </w:pPr>
      <w:r w:rsidRPr="0099749D">
        <w:rPr>
          <w:szCs w:val="24"/>
        </w:rPr>
        <w:t>The State will disclose events occurring during the subsequent period that will materially affect future claims costs.</w:t>
      </w:r>
    </w:p>
    <w:p w14:paraId="09E3F200" w14:textId="77777777" w:rsidR="00574242" w:rsidRPr="0099749D" w:rsidRDefault="00574242" w:rsidP="006E09D9">
      <w:pPr>
        <w:pStyle w:val="Heading4"/>
      </w:pPr>
      <w:bookmarkStart w:id="319" w:name="_Toc296021470"/>
      <w:bookmarkStart w:id="320" w:name="_Toc296021559"/>
      <w:bookmarkStart w:id="321" w:name="_Toc296235451"/>
      <w:bookmarkStart w:id="322" w:name="_Toc296235552"/>
      <w:r w:rsidRPr="0099749D">
        <w:t xml:space="preserve">Claims Known </w:t>
      </w:r>
      <w:proofErr w:type="gramStart"/>
      <w:r w:rsidRPr="0099749D">
        <w:t>But</w:t>
      </w:r>
      <w:proofErr w:type="gramEnd"/>
      <w:r w:rsidRPr="0099749D">
        <w:t xml:space="preserve"> Not Paid</w:t>
      </w:r>
      <w:bookmarkEnd w:id="319"/>
      <w:bookmarkEnd w:id="320"/>
      <w:bookmarkEnd w:id="321"/>
      <w:bookmarkEnd w:id="322"/>
    </w:p>
    <w:p w14:paraId="08C7A6FF" w14:textId="77777777" w:rsidR="00574242" w:rsidRPr="0099749D" w:rsidRDefault="00376749" w:rsidP="00574242">
      <w:pPr>
        <w:spacing w:after="40"/>
        <w:rPr>
          <w:szCs w:val="24"/>
        </w:rPr>
      </w:pPr>
      <w:r>
        <w:rPr>
          <w:szCs w:val="24"/>
        </w:rPr>
        <w:t>The amount for claims known but not p</w:t>
      </w:r>
      <w:r w:rsidR="00574242" w:rsidRPr="0099749D">
        <w:rPr>
          <w:szCs w:val="24"/>
        </w:rPr>
        <w:t xml:space="preserve">aid includes both: </w:t>
      </w:r>
    </w:p>
    <w:p w14:paraId="6E5E3291" w14:textId="77777777" w:rsidR="00574242" w:rsidRPr="0099749D" w:rsidRDefault="00574242" w:rsidP="00574242">
      <w:pPr>
        <w:pStyle w:val="Bullet10"/>
        <w:spacing w:before="40" w:after="40"/>
        <w:rPr>
          <w:szCs w:val="24"/>
        </w:rPr>
      </w:pPr>
      <w:r w:rsidRPr="0099749D">
        <w:rPr>
          <w:szCs w:val="24"/>
        </w:rPr>
        <w:t>o</w:t>
      </w:r>
      <w:r w:rsidRPr="0099749D">
        <w:rPr>
          <w:szCs w:val="24"/>
        </w:rPr>
        <w:tab/>
      </w:r>
      <w:r w:rsidRPr="0099749D">
        <w:rPr>
          <w:szCs w:val="24"/>
          <w:u w:val="words"/>
        </w:rPr>
        <w:t>Known</w:t>
      </w:r>
      <w:r w:rsidRPr="0099749D">
        <w:rPr>
          <w:szCs w:val="24"/>
        </w:rPr>
        <w:t xml:space="preserve"> amounts the State must pay in future years for claims </w:t>
      </w:r>
      <w:r w:rsidRPr="0099749D">
        <w:rPr>
          <w:szCs w:val="24"/>
          <w:u w:val="words"/>
        </w:rPr>
        <w:t>settled</w:t>
      </w:r>
      <w:r w:rsidRPr="0099749D">
        <w:rPr>
          <w:szCs w:val="24"/>
        </w:rPr>
        <w:t xml:space="preserve"> on or before June 30.</w:t>
      </w:r>
    </w:p>
    <w:p w14:paraId="2EC6CBC7" w14:textId="77777777" w:rsidR="00574242" w:rsidRPr="0099749D" w:rsidRDefault="00574242" w:rsidP="00574242">
      <w:pPr>
        <w:pStyle w:val="Bullet10"/>
        <w:spacing w:before="40"/>
        <w:rPr>
          <w:szCs w:val="24"/>
        </w:rPr>
      </w:pPr>
      <w:r w:rsidRPr="0099749D">
        <w:rPr>
          <w:szCs w:val="24"/>
        </w:rPr>
        <w:t>o</w:t>
      </w:r>
      <w:r w:rsidRPr="0099749D">
        <w:rPr>
          <w:szCs w:val="24"/>
        </w:rPr>
        <w:tab/>
      </w:r>
      <w:proofErr w:type="gramStart"/>
      <w:r w:rsidRPr="0099749D">
        <w:rPr>
          <w:szCs w:val="24"/>
        </w:rPr>
        <w:t>An</w:t>
      </w:r>
      <w:proofErr w:type="gramEnd"/>
      <w:r w:rsidRPr="0099749D">
        <w:rPr>
          <w:szCs w:val="24"/>
        </w:rPr>
        <w:t xml:space="preserve"> </w:t>
      </w:r>
      <w:r w:rsidRPr="0099749D">
        <w:rPr>
          <w:szCs w:val="24"/>
          <w:u w:val="words"/>
        </w:rPr>
        <w:t>estimate</w:t>
      </w:r>
      <w:r w:rsidRPr="0099749D">
        <w:rPr>
          <w:szCs w:val="24"/>
        </w:rPr>
        <w:t xml:space="preserve"> of amounts the State will pay in future years for </w:t>
      </w:r>
      <w:r w:rsidRPr="0099749D">
        <w:rPr>
          <w:szCs w:val="24"/>
          <w:u w:val="single"/>
        </w:rPr>
        <w:t>claims in process</w:t>
      </w:r>
      <w:r w:rsidR="00376749">
        <w:rPr>
          <w:szCs w:val="24"/>
        </w:rPr>
        <w:t xml:space="preserve"> </w:t>
      </w:r>
      <w:r w:rsidRPr="0099749D">
        <w:rPr>
          <w:szCs w:val="24"/>
        </w:rPr>
        <w:t xml:space="preserve">at June 30.  </w:t>
      </w:r>
    </w:p>
    <w:p w14:paraId="1B8468BD" w14:textId="77777777" w:rsidR="00574242" w:rsidRPr="0099749D" w:rsidRDefault="00574242" w:rsidP="004E3B00">
      <w:pPr>
        <w:keepNext/>
        <w:spacing w:after="40"/>
        <w:rPr>
          <w:szCs w:val="24"/>
        </w:rPr>
      </w:pPr>
      <w:r w:rsidRPr="0099749D">
        <w:rPr>
          <w:szCs w:val="24"/>
        </w:rPr>
        <w:t xml:space="preserve">There are many ways to estimate the amount the State will pay in future years for claims in process </w:t>
      </w:r>
      <w:proofErr w:type="gramStart"/>
      <w:r w:rsidRPr="0099749D">
        <w:rPr>
          <w:szCs w:val="24"/>
        </w:rPr>
        <w:t>at</w:t>
      </w:r>
      <w:proofErr w:type="gramEnd"/>
      <w:r w:rsidRPr="0099749D">
        <w:rPr>
          <w:szCs w:val="24"/>
        </w:rPr>
        <w:t xml:space="preserve"> June 30.  For ex</w:t>
      </w:r>
      <w:r w:rsidR="004E3B00">
        <w:rPr>
          <w:szCs w:val="24"/>
        </w:rPr>
        <w:t>ample, the agency might compute an estimated cost based on similar claims filed during a</w:t>
      </w:r>
      <w:r w:rsidRPr="0099749D">
        <w:rPr>
          <w:szCs w:val="24"/>
        </w:rPr>
        <w:t xml:space="preserve"> previous fiscal year. </w:t>
      </w:r>
      <w:r w:rsidR="004E3B00">
        <w:rPr>
          <w:szCs w:val="24"/>
        </w:rPr>
        <w:t>Or the agency may compute the average cost of valid</w:t>
      </w:r>
      <w:r w:rsidRPr="0099749D">
        <w:rPr>
          <w:szCs w:val="24"/>
        </w:rPr>
        <w:t xml:space="preserve"> claim</w:t>
      </w:r>
      <w:r w:rsidR="004E3B00">
        <w:rPr>
          <w:szCs w:val="24"/>
        </w:rPr>
        <w:t>s</w:t>
      </w:r>
      <w:r w:rsidRPr="0099749D">
        <w:rPr>
          <w:szCs w:val="24"/>
        </w:rPr>
        <w:t xml:space="preserve"> </w:t>
      </w:r>
      <w:r w:rsidR="004E3B00">
        <w:rPr>
          <w:szCs w:val="24"/>
        </w:rPr>
        <w:t xml:space="preserve">incurred </w:t>
      </w:r>
      <w:r w:rsidRPr="0099749D">
        <w:rPr>
          <w:szCs w:val="24"/>
        </w:rPr>
        <w:t xml:space="preserve">over a recent </w:t>
      </w:r>
      <w:proofErr w:type="gramStart"/>
      <w:r w:rsidRPr="0099749D">
        <w:rPr>
          <w:szCs w:val="24"/>
        </w:rPr>
        <w:t>period of time</w:t>
      </w:r>
      <w:proofErr w:type="gramEnd"/>
      <w:r w:rsidRPr="0099749D">
        <w:rPr>
          <w:szCs w:val="24"/>
        </w:rPr>
        <w:t>.</w:t>
      </w:r>
    </w:p>
    <w:p w14:paraId="41B2CD29" w14:textId="77777777" w:rsidR="00574242" w:rsidRPr="0099749D" w:rsidRDefault="00574242" w:rsidP="00574242">
      <w:pPr>
        <w:rPr>
          <w:szCs w:val="24"/>
        </w:rPr>
      </w:pPr>
      <w:r w:rsidRPr="0099749D">
        <w:rPr>
          <w:szCs w:val="24"/>
        </w:rPr>
        <w:t xml:space="preserve">The exact computation will depend on data available to the agency when it completes the Claims Summary Form (Form 3.15.1).  </w:t>
      </w:r>
    </w:p>
    <w:p w14:paraId="03758812" w14:textId="77777777" w:rsidR="00574242" w:rsidRPr="0099749D" w:rsidRDefault="00574242" w:rsidP="006E09D9">
      <w:pPr>
        <w:pStyle w:val="Heading4"/>
      </w:pPr>
      <w:bookmarkStart w:id="323" w:name="_Toc296021471"/>
      <w:bookmarkStart w:id="324" w:name="_Toc296021560"/>
      <w:bookmarkStart w:id="325" w:name="_Toc296235452"/>
      <w:bookmarkStart w:id="326" w:name="_Toc296235553"/>
      <w:r w:rsidRPr="0099749D">
        <w:t>Incurred But Not Reported (IBNR)</w:t>
      </w:r>
      <w:bookmarkEnd w:id="323"/>
      <w:bookmarkEnd w:id="324"/>
      <w:bookmarkEnd w:id="325"/>
      <w:bookmarkEnd w:id="326"/>
    </w:p>
    <w:p w14:paraId="4EF1DCC6" w14:textId="77777777" w:rsidR="00574242" w:rsidRPr="0099749D" w:rsidRDefault="00574242" w:rsidP="00574242">
      <w:pPr>
        <w:rPr>
          <w:szCs w:val="24"/>
        </w:rPr>
      </w:pPr>
      <w:r w:rsidRPr="0099749D">
        <w:rPr>
          <w:szCs w:val="24"/>
        </w:rPr>
        <w:t xml:space="preserve">Agencies should report IBNR only if it is </w:t>
      </w:r>
      <w:r w:rsidRPr="0099749D">
        <w:rPr>
          <w:szCs w:val="24"/>
          <w:u w:val="single"/>
        </w:rPr>
        <w:t>probable</w:t>
      </w:r>
      <w:r w:rsidRPr="0099749D">
        <w:rPr>
          <w:szCs w:val="24"/>
        </w:rPr>
        <w:t xml:space="preserve"> that claims will be </w:t>
      </w:r>
      <w:proofErr w:type="gramStart"/>
      <w:r w:rsidRPr="0099749D">
        <w:rPr>
          <w:szCs w:val="24"/>
        </w:rPr>
        <w:t>asserted</w:t>
      </w:r>
      <w:proofErr w:type="gramEnd"/>
      <w:r w:rsidRPr="0099749D">
        <w:rPr>
          <w:szCs w:val="24"/>
        </w:rPr>
        <w:t xml:space="preserve"> and the loss can be reasonably estimated.  The exact computation of IBNR will depend on data available.  Computation of IBNR can be complex.  The Comptroller General's Office prefers to use estimates of IBNR that independent consulting actuaries have prepared.  If this is not practical, the agency's staff should estimate IBNR.</w:t>
      </w:r>
    </w:p>
    <w:p w14:paraId="2FAF87A6" w14:textId="77777777" w:rsidR="00574242" w:rsidRPr="0099749D" w:rsidRDefault="00574242" w:rsidP="006E09D9">
      <w:pPr>
        <w:pStyle w:val="Heading4"/>
      </w:pPr>
      <w:bookmarkStart w:id="327" w:name="_Toc296021472"/>
      <w:bookmarkStart w:id="328" w:name="_Toc296021561"/>
      <w:bookmarkStart w:id="329" w:name="_Toc296235453"/>
      <w:bookmarkStart w:id="330" w:name="_Toc296235554"/>
      <w:r w:rsidRPr="0099749D">
        <w:t>Current and Long-Term Claims Liabilities</w:t>
      </w:r>
      <w:bookmarkEnd w:id="327"/>
      <w:bookmarkEnd w:id="328"/>
      <w:bookmarkEnd w:id="329"/>
      <w:bookmarkEnd w:id="330"/>
    </w:p>
    <w:p w14:paraId="7BF3BE79" w14:textId="77777777" w:rsidR="00574242" w:rsidRPr="0099749D" w:rsidRDefault="00574242" w:rsidP="00574242">
      <w:pPr>
        <w:spacing w:before="0"/>
        <w:rPr>
          <w:szCs w:val="24"/>
        </w:rPr>
      </w:pPr>
      <w:r w:rsidRPr="0099749D">
        <w:rPr>
          <w:szCs w:val="24"/>
        </w:rPr>
        <w:t>The State’s policy is to use a one-year availability period</w:t>
      </w:r>
      <w:r w:rsidR="004E3B00">
        <w:rPr>
          <w:szCs w:val="24"/>
        </w:rPr>
        <w:t xml:space="preserve"> for purposes of reporting its g</w:t>
      </w:r>
      <w:r w:rsidRPr="0099749D">
        <w:rPr>
          <w:szCs w:val="24"/>
        </w:rPr>
        <w:t xml:space="preserve">overnmental funds.  Accordingly, for all practical purposes, the definitions of current and long-term liabilities contained in </w:t>
      </w:r>
      <w:r w:rsidR="004E3B00">
        <w:rPr>
          <w:i/>
          <w:iCs/>
          <w:szCs w:val="24"/>
        </w:rPr>
        <w:t>GASB</w:t>
      </w:r>
      <w:r w:rsidRPr="0099749D">
        <w:rPr>
          <w:i/>
          <w:iCs/>
          <w:szCs w:val="24"/>
        </w:rPr>
        <w:t xml:space="preserve"> Codification</w:t>
      </w:r>
      <w:r w:rsidR="004E3B00">
        <w:rPr>
          <w:szCs w:val="24"/>
        </w:rPr>
        <w:t xml:space="preserve"> </w:t>
      </w:r>
      <w:r w:rsidRPr="0099749D">
        <w:rPr>
          <w:szCs w:val="24"/>
        </w:rPr>
        <w:t>Section 2200.116 apply across all fund types and activities.  Specifically, current liabilities are those “due within one year,” and long-term liabilities are those “due in more than one year.”</w:t>
      </w:r>
    </w:p>
    <w:p w14:paraId="50DF199F" w14:textId="77777777" w:rsidR="00574242" w:rsidRPr="0099749D" w:rsidRDefault="00574242" w:rsidP="00EF39D1">
      <w:pPr>
        <w:keepNext/>
        <w:spacing w:after="40"/>
        <w:rPr>
          <w:szCs w:val="24"/>
        </w:rPr>
      </w:pPr>
      <w:r w:rsidRPr="0099749D">
        <w:rPr>
          <w:szCs w:val="24"/>
        </w:rPr>
        <w:t>Components of long-term liabilities include:</w:t>
      </w:r>
    </w:p>
    <w:p w14:paraId="19E6D7BC" w14:textId="77777777" w:rsidR="00574242" w:rsidRPr="0099749D" w:rsidRDefault="00574242" w:rsidP="005C2F33">
      <w:pPr>
        <w:pStyle w:val="Bullet10"/>
        <w:keepNext/>
        <w:numPr>
          <w:ilvl w:val="0"/>
          <w:numId w:val="21"/>
        </w:numPr>
        <w:spacing w:before="40" w:after="40"/>
        <w:rPr>
          <w:szCs w:val="24"/>
        </w:rPr>
      </w:pPr>
      <w:r w:rsidRPr="0099749D">
        <w:rPr>
          <w:szCs w:val="24"/>
        </w:rPr>
        <w:t>Claims known but not paid that the agency expects to pay from future financial resources.</w:t>
      </w:r>
    </w:p>
    <w:p w14:paraId="47EEFB26" w14:textId="77777777" w:rsidR="00574242" w:rsidRPr="0099749D" w:rsidRDefault="00574242" w:rsidP="005C2F33">
      <w:pPr>
        <w:pStyle w:val="Bullet10"/>
        <w:numPr>
          <w:ilvl w:val="0"/>
          <w:numId w:val="21"/>
        </w:numPr>
        <w:spacing w:before="40"/>
        <w:rPr>
          <w:szCs w:val="24"/>
        </w:rPr>
      </w:pPr>
      <w:r w:rsidRPr="0099749D">
        <w:rPr>
          <w:szCs w:val="24"/>
        </w:rPr>
        <w:t>Claims incurred but not reported.</w:t>
      </w:r>
    </w:p>
    <w:p w14:paraId="3625AEF5" w14:textId="77777777" w:rsidR="00574242" w:rsidRPr="0099749D" w:rsidRDefault="00574242" w:rsidP="00574242">
      <w:pPr>
        <w:rPr>
          <w:szCs w:val="24"/>
        </w:rPr>
      </w:pPr>
    </w:p>
    <w:p w14:paraId="5EB5B1C9" w14:textId="77777777" w:rsidR="0012040B" w:rsidRDefault="00CE1C4E" w:rsidP="003B02BA">
      <w:pPr>
        <w:pStyle w:val="Heading2"/>
      </w:pPr>
      <w:bookmarkStart w:id="331" w:name="_Toc296021473"/>
      <w:bookmarkStart w:id="332" w:name="_Toc296021562"/>
      <w:bookmarkStart w:id="333" w:name="_Toc296235454"/>
      <w:bookmarkStart w:id="334" w:name="_Toc296235555"/>
      <w:bookmarkStart w:id="335" w:name="_Toc296247841"/>
      <w:bookmarkStart w:id="336" w:name="_Toc166149287"/>
      <w:r w:rsidRPr="007D55DC">
        <w:t>Section _.16 Miscellaneous Losses</w:t>
      </w:r>
      <w:bookmarkEnd w:id="331"/>
      <w:bookmarkEnd w:id="332"/>
      <w:bookmarkEnd w:id="333"/>
      <w:bookmarkEnd w:id="334"/>
      <w:bookmarkEnd w:id="335"/>
      <w:bookmarkEnd w:id="336"/>
    </w:p>
    <w:p w14:paraId="7B72627A" w14:textId="77777777" w:rsidR="006E09D9" w:rsidRDefault="00CE1C4E" w:rsidP="006E09D9">
      <w:pPr>
        <w:pStyle w:val="Heading3"/>
      </w:pPr>
      <w:bookmarkStart w:id="337" w:name="_Toc296247842"/>
      <w:bookmarkStart w:id="338" w:name="_Toc166149288"/>
      <w:r w:rsidRPr="007D55DC">
        <w:t>Accounting Standards</w:t>
      </w:r>
      <w:bookmarkEnd w:id="337"/>
      <w:bookmarkEnd w:id="338"/>
    </w:p>
    <w:p w14:paraId="6E38E930" w14:textId="77777777" w:rsidR="00CE1C4E" w:rsidRPr="007D55DC" w:rsidRDefault="006E09D9" w:rsidP="006E09D9">
      <w:pPr>
        <w:pStyle w:val="Heading4"/>
      </w:pPr>
      <w:r>
        <w:t>R</w:t>
      </w:r>
      <w:r w:rsidR="00CE1C4E" w:rsidRPr="007D55DC">
        <w:t>ecording and Reporting of Liabilities</w:t>
      </w:r>
    </w:p>
    <w:p w14:paraId="1856D4D8" w14:textId="77777777" w:rsidR="00CE1C4E" w:rsidRPr="009B30AB" w:rsidRDefault="00CE1C4E" w:rsidP="006E09D9">
      <w:pPr>
        <w:spacing w:before="40"/>
      </w:pPr>
      <w:r w:rsidRPr="009B30AB">
        <w:t xml:space="preserve">Loss situations that represent known liabilities </w:t>
      </w:r>
      <w:proofErr w:type="gramStart"/>
      <w:r w:rsidRPr="009B30AB">
        <w:t>at</w:t>
      </w:r>
      <w:proofErr w:type="gramEnd"/>
      <w:r w:rsidRPr="009B30AB">
        <w:t xml:space="preserve"> June 30 are loss liabilities.  Potential loss situations that depend on the occurrence of other events are loss contingencies.  Under GAAP the State must report all material liabilities existing </w:t>
      </w:r>
      <w:proofErr w:type="gramStart"/>
      <w:r w:rsidRPr="009B30AB">
        <w:t>at</w:t>
      </w:r>
      <w:proofErr w:type="gramEnd"/>
      <w:r w:rsidRPr="009B30AB">
        <w:t xml:space="preserve"> June 30 in its financial statements.  </w:t>
      </w:r>
    </w:p>
    <w:p w14:paraId="5630266D" w14:textId="77777777" w:rsidR="00CE1C4E" w:rsidRPr="009B30AB" w:rsidRDefault="00CE1C4E" w:rsidP="00CE1C4E">
      <w:pPr>
        <w:spacing w:after="40"/>
      </w:pPr>
      <w:r w:rsidRPr="009B30AB">
        <w:t>Possible losses result from:</w:t>
      </w:r>
    </w:p>
    <w:p w14:paraId="103F1A23" w14:textId="1030D7D0" w:rsidR="00CE1C4E" w:rsidRPr="009B30AB" w:rsidRDefault="00CE1C4E" w:rsidP="005C2F33">
      <w:pPr>
        <w:pStyle w:val="ListParagraph"/>
        <w:numPr>
          <w:ilvl w:val="0"/>
          <w:numId w:val="29"/>
        </w:numPr>
        <w:spacing w:before="40"/>
        <w:jc w:val="left"/>
      </w:pPr>
      <w:r w:rsidRPr="009B30AB">
        <w:lastRenderedPageBreak/>
        <w:t xml:space="preserve">Adverse litigation rulings </w:t>
      </w:r>
    </w:p>
    <w:p w14:paraId="5FDA71D3" w14:textId="3CD40953" w:rsidR="00CE1C4E" w:rsidRPr="009B30AB" w:rsidRDefault="008457EE" w:rsidP="005C2F33">
      <w:pPr>
        <w:pStyle w:val="ListParagraph"/>
        <w:numPr>
          <w:ilvl w:val="0"/>
          <w:numId w:val="29"/>
        </w:numPr>
        <w:spacing w:before="40"/>
        <w:jc w:val="left"/>
      </w:pPr>
      <w:r>
        <w:t>D</w:t>
      </w:r>
      <w:r w:rsidR="00CE1C4E" w:rsidRPr="009B30AB">
        <w:t>isallowances</w:t>
      </w:r>
      <w:r>
        <w:t xml:space="preserve"> and Penalties</w:t>
      </w:r>
      <w:r w:rsidR="00CE1C4E" w:rsidRPr="009B30AB">
        <w:t xml:space="preserve"> </w:t>
      </w:r>
    </w:p>
    <w:p w14:paraId="5A4DA5EF" w14:textId="2D7688EC" w:rsidR="00CE1C4E" w:rsidRPr="009B30AB" w:rsidRDefault="00CE1C4E" w:rsidP="005C2F33">
      <w:pPr>
        <w:pStyle w:val="ListParagraph"/>
        <w:numPr>
          <w:ilvl w:val="0"/>
          <w:numId w:val="29"/>
        </w:numPr>
        <w:spacing w:before="40"/>
        <w:jc w:val="left"/>
      </w:pPr>
      <w:r w:rsidRPr="009B30AB">
        <w:t xml:space="preserve">Uncollectible accounts receivable </w:t>
      </w:r>
    </w:p>
    <w:p w14:paraId="6FE3AC72" w14:textId="376FA26C" w:rsidR="00CE1C4E" w:rsidRPr="009B30AB" w:rsidRDefault="00CE1C4E" w:rsidP="005C2F33">
      <w:pPr>
        <w:pStyle w:val="ListParagraph"/>
        <w:numPr>
          <w:ilvl w:val="0"/>
          <w:numId w:val="29"/>
        </w:numPr>
        <w:spacing w:before="40"/>
        <w:jc w:val="left"/>
      </w:pPr>
      <w:r w:rsidRPr="009B30AB">
        <w:t>Insured losses covered by self-insurance</w:t>
      </w:r>
    </w:p>
    <w:p w14:paraId="0C5B7D77" w14:textId="50B6D729" w:rsidR="00CE1C4E" w:rsidRPr="009B30AB" w:rsidRDefault="00CE1C4E" w:rsidP="005C2F33">
      <w:pPr>
        <w:pStyle w:val="ListParagraph"/>
        <w:numPr>
          <w:ilvl w:val="0"/>
          <w:numId w:val="29"/>
        </w:numPr>
        <w:spacing w:before="40"/>
        <w:jc w:val="left"/>
      </w:pPr>
      <w:r w:rsidRPr="009B30AB">
        <w:t xml:space="preserve">Insurance related losses not covered by policies (including any deductible required) </w:t>
      </w:r>
    </w:p>
    <w:p w14:paraId="2CE8EF03" w14:textId="11691624" w:rsidR="00CE1C4E" w:rsidRPr="009B30AB" w:rsidRDefault="00CE1C4E" w:rsidP="005C2F33">
      <w:pPr>
        <w:pStyle w:val="ListParagraph"/>
        <w:numPr>
          <w:ilvl w:val="0"/>
          <w:numId w:val="29"/>
        </w:numPr>
        <w:spacing w:before="40"/>
        <w:jc w:val="left"/>
      </w:pPr>
      <w:r w:rsidRPr="009B30AB">
        <w:t xml:space="preserve">Guarantees of others' debts </w:t>
      </w:r>
    </w:p>
    <w:p w14:paraId="7F260314" w14:textId="77777777" w:rsidR="00CE1C4E" w:rsidRPr="009B30AB" w:rsidRDefault="00CE1C4E" w:rsidP="00CE1C4E">
      <w:pPr>
        <w:keepNext/>
        <w:spacing w:after="40"/>
      </w:pPr>
      <w:r w:rsidRPr="009B30AB">
        <w:t>Organizations are subject to risks of loss arising from events such as:</w:t>
      </w:r>
    </w:p>
    <w:p w14:paraId="705110EC" w14:textId="77777777" w:rsidR="00CE1C4E" w:rsidRPr="009B30AB" w:rsidRDefault="00CE1C4E" w:rsidP="00CE1C4E">
      <w:pPr>
        <w:pStyle w:val="Bullet10"/>
        <w:keepNext/>
        <w:spacing w:before="40" w:after="40"/>
        <w:ind w:hanging="360"/>
        <w:rPr>
          <w:szCs w:val="24"/>
        </w:rPr>
      </w:pPr>
      <w:r w:rsidRPr="009B30AB">
        <w:rPr>
          <w:szCs w:val="24"/>
        </w:rPr>
        <w:t>o</w:t>
      </w:r>
      <w:r w:rsidRPr="009B30AB">
        <w:rPr>
          <w:szCs w:val="24"/>
        </w:rPr>
        <w:tab/>
        <w:t>Damages to or destruction of assets from causes such as fire, natural disasters, theft, vandalism, etc.</w:t>
      </w:r>
    </w:p>
    <w:p w14:paraId="710314E8" w14:textId="77777777" w:rsidR="00CE1C4E" w:rsidRPr="009B30AB" w:rsidRDefault="00CE1C4E" w:rsidP="00CE1C4E">
      <w:pPr>
        <w:pStyle w:val="Bullet10"/>
        <w:spacing w:before="40" w:after="40"/>
        <w:ind w:hanging="360"/>
        <w:rPr>
          <w:szCs w:val="24"/>
        </w:rPr>
      </w:pPr>
      <w:r w:rsidRPr="009B30AB">
        <w:rPr>
          <w:szCs w:val="24"/>
        </w:rPr>
        <w:t>o</w:t>
      </w:r>
      <w:r w:rsidRPr="009B30AB">
        <w:rPr>
          <w:szCs w:val="24"/>
        </w:rPr>
        <w:tab/>
        <w:t>Injuries to employees.</w:t>
      </w:r>
    </w:p>
    <w:p w14:paraId="1E460D22" w14:textId="77777777" w:rsidR="00CE1C4E" w:rsidRPr="009B30AB" w:rsidRDefault="00CE1C4E" w:rsidP="00CE1C4E">
      <w:pPr>
        <w:pStyle w:val="Bullet10"/>
        <w:spacing w:before="40"/>
        <w:ind w:hanging="360"/>
        <w:rPr>
          <w:szCs w:val="24"/>
        </w:rPr>
      </w:pPr>
      <w:r w:rsidRPr="009B30AB">
        <w:rPr>
          <w:szCs w:val="24"/>
        </w:rPr>
        <w:t>o</w:t>
      </w:r>
      <w:r w:rsidRPr="009B30AB">
        <w:rPr>
          <w:szCs w:val="24"/>
        </w:rPr>
        <w:tab/>
        <w:t>Torts (wrongful acts, injuries, or damage, not involving a breach of contract, for which civil actions can be brought).</w:t>
      </w:r>
    </w:p>
    <w:p w14:paraId="007286C8" w14:textId="77777777" w:rsidR="00CE1C4E" w:rsidRPr="009B30AB" w:rsidRDefault="00CE1C4E" w:rsidP="00CE1C4E">
      <w:r w:rsidRPr="009B30AB">
        <w:rPr>
          <w:i/>
          <w:iCs/>
        </w:rPr>
        <w:t>Governmental Accounting Standards Board (GASB) Codification</w:t>
      </w:r>
      <w:r w:rsidRPr="009B30AB">
        <w:t xml:space="preserve"> Section 2200.116 requires that liabilities of Governmental, Enterprise, and Internal Service Funds with maturities greater than one year be reported in two components in the government-wide financial statements</w:t>
      </w:r>
      <w:proofErr w:type="gramStart"/>
      <w:r w:rsidRPr="009B30AB">
        <w:t>—“</w:t>
      </w:r>
      <w:proofErr w:type="gramEnd"/>
      <w:r w:rsidRPr="009B30AB">
        <w:t xml:space="preserve">the amount due within one year and the amount due in more than one year.”  Enterprise, Internal Service, and Trust Funds are reported in a similar manner within the fund financial statements.  </w:t>
      </w:r>
    </w:p>
    <w:p w14:paraId="44A94753" w14:textId="77777777" w:rsidR="00CE1C4E" w:rsidRPr="009B30AB" w:rsidRDefault="00CE1C4E" w:rsidP="00CE1C4E">
      <w:r w:rsidRPr="009B30AB">
        <w:t xml:space="preserve">The reporting of Governmental funds in the fund financial statements, however, is governed by Codification Section 1600.129, which defines Governmental fund current liabilities as “the amount left unpaid at the end of the reporting period that normally would be liquidated with expendable available financial resources.”  Long-term liabilities of Governmental Funds are recorded only in the government-wide financial statements, not in the fund financial statements.  </w:t>
      </w:r>
    </w:p>
    <w:p w14:paraId="2D221C7D" w14:textId="77777777" w:rsidR="00CE1C4E" w:rsidRPr="009B30AB" w:rsidRDefault="00CE1C4E" w:rsidP="00CE1C4E">
      <w:r w:rsidRPr="009B30AB">
        <w:t>Liabilities of Trust and Agency Funds are recorded only in the fund financial statements, not in the government-wide financial statements.</w:t>
      </w:r>
    </w:p>
    <w:p w14:paraId="10ABA47B" w14:textId="77777777" w:rsidR="00CE1C4E" w:rsidRPr="00BA1749" w:rsidRDefault="00CE1C4E" w:rsidP="00CE1C4E">
      <w:r w:rsidRPr="00BA1749">
        <w:t xml:space="preserve">State Policies require a liability to be reported for losses known as of June 30.  </w:t>
      </w:r>
    </w:p>
    <w:p w14:paraId="23D1B796" w14:textId="77777777" w:rsidR="00CE1C4E" w:rsidRPr="00B12F24" w:rsidRDefault="00CE1C4E" w:rsidP="006E09D9">
      <w:pPr>
        <w:pStyle w:val="Heading4"/>
      </w:pPr>
      <w:r w:rsidRPr="00B12F24">
        <w:t>Loss Contingencies and Subsequent Events</w:t>
      </w:r>
    </w:p>
    <w:p w14:paraId="3F7CB21C" w14:textId="77777777" w:rsidR="00CE1C4E" w:rsidRPr="00B12F24" w:rsidRDefault="00CE1C4E" w:rsidP="006E09D9">
      <w:pPr>
        <w:keepNext/>
        <w:spacing w:before="40" w:after="40"/>
      </w:pPr>
      <w:r w:rsidRPr="00B12F24">
        <w:t>GAAP for loss contingencies appear in:</w:t>
      </w:r>
    </w:p>
    <w:p w14:paraId="2DC9B3FD" w14:textId="77777777" w:rsidR="00CE1C4E" w:rsidRPr="00B12F24" w:rsidRDefault="00CE1C4E" w:rsidP="006E09D9">
      <w:pPr>
        <w:keepNext/>
        <w:spacing w:before="40"/>
        <w:ind w:left="720" w:hanging="360"/>
      </w:pPr>
      <w:r w:rsidRPr="00B12F24">
        <w:t>o</w:t>
      </w:r>
      <w:r w:rsidRPr="00B12F24">
        <w:tab/>
        <w:t xml:space="preserve">Governmental Accounting Standards Board (GASB) Codification Sections 1500.114 and C50.101 through 149. </w:t>
      </w:r>
    </w:p>
    <w:p w14:paraId="2E0AC641" w14:textId="77777777" w:rsidR="00CE1C4E" w:rsidRPr="00B12F24" w:rsidRDefault="00CE1C4E" w:rsidP="00CE1C4E">
      <w:pPr>
        <w:spacing w:before="40"/>
        <w:ind w:left="720" w:hanging="360"/>
      </w:pPr>
      <w:r w:rsidRPr="00B12F24">
        <w:t>o</w:t>
      </w:r>
      <w:r w:rsidRPr="00B12F24">
        <w:tab/>
        <w:t xml:space="preserve">Financial Accounting Standards Board (FASB) Statement 5, "Accounting </w:t>
      </w:r>
      <w:proofErr w:type="gramStart"/>
      <w:r w:rsidRPr="00B12F24">
        <w:t>For</w:t>
      </w:r>
      <w:proofErr w:type="gramEnd"/>
      <w:r w:rsidRPr="00B12F24">
        <w:t xml:space="preserve"> Contingencies" as revised and interpreted</w:t>
      </w:r>
      <w:r w:rsidRPr="00B12F24">
        <w:rPr>
          <w:rStyle w:val="FootnoteReference"/>
        </w:rPr>
        <w:footnoteReference w:id="50"/>
      </w:r>
      <w:r w:rsidRPr="00B12F24">
        <w:t>.</w:t>
      </w:r>
    </w:p>
    <w:p w14:paraId="6E64812E" w14:textId="77777777" w:rsidR="00CE1C4E" w:rsidRPr="00A63DEE" w:rsidRDefault="00CE1C4E" w:rsidP="00CE1C4E">
      <w:pPr>
        <w:spacing w:after="40"/>
      </w:pPr>
      <w:r w:rsidRPr="00A63DEE">
        <w:t>Major loss contingencies that arise after June 30 but before the State issues its financial statements are subsequent events.  Requirements for recording and reporting subsequent events are defined in:</w:t>
      </w:r>
    </w:p>
    <w:p w14:paraId="20BCAC30" w14:textId="77777777" w:rsidR="00CE1C4E" w:rsidRPr="00A63DEE" w:rsidRDefault="00CE1C4E" w:rsidP="00CE1C4E">
      <w:pPr>
        <w:spacing w:before="40" w:after="40"/>
        <w:ind w:left="720" w:hanging="360"/>
      </w:pPr>
      <w:r w:rsidRPr="00A63DEE">
        <w:t>o</w:t>
      </w:r>
      <w:r w:rsidRPr="00A63DEE">
        <w:tab/>
        <w:t>Governmental Accounting Standards Board (GASB) Codification Section 2300.106f and C50.148.</w:t>
      </w:r>
    </w:p>
    <w:p w14:paraId="01266543" w14:textId="77777777" w:rsidR="00CE1C4E" w:rsidRPr="00A63DEE" w:rsidRDefault="00CE1C4E" w:rsidP="00CE1C4E">
      <w:pPr>
        <w:spacing w:before="40"/>
        <w:ind w:left="720" w:hanging="360"/>
      </w:pPr>
      <w:r w:rsidRPr="00A63DEE">
        <w:t>o</w:t>
      </w:r>
      <w:r w:rsidRPr="00A63DEE">
        <w:tab/>
        <w:t xml:space="preserve">GASB Statement </w:t>
      </w:r>
      <w:r w:rsidRPr="00A63DEE">
        <w:rPr>
          <w:szCs w:val="24"/>
        </w:rPr>
        <w:t xml:space="preserve">56 </w:t>
      </w:r>
      <w:r w:rsidRPr="00A63DEE">
        <w:rPr>
          <w:i/>
          <w:szCs w:val="24"/>
        </w:rPr>
        <w:t xml:space="preserve">Codification of Accounting and Financial Reporting Guidance Contained in the AICPA Statements on Auditing Standards </w:t>
      </w:r>
      <w:r w:rsidRPr="00A63DEE">
        <w:rPr>
          <w:szCs w:val="24"/>
        </w:rPr>
        <w:t xml:space="preserve">incorporated guidance previously issued as Statements </w:t>
      </w:r>
      <w:r w:rsidRPr="00A63DEE">
        <w:rPr>
          <w:szCs w:val="24"/>
        </w:rPr>
        <w:lastRenderedPageBreak/>
        <w:t xml:space="preserve">on Auditing Standards (SAS's) and related interpretations </w:t>
      </w:r>
      <w:r w:rsidRPr="00A63DEE">
        <w:t xml:space="preserve">(issued by the American Institute of Certified Public Accountants, AICPA) </w:t>
      </w:r>
      <w:r w:rsidRPr="00A63DEE">
        <w:rPr>
          <w:szCs w:val="24"/>
        </w:rPr>
        <w:t xml:space="preserve">as authoritative GASB pronouncements.  </w:t>
      </w:r>
    </w:p>
    <w:p w14:paraId="39077B2E" w14:textId="77777777" w:rsidR="00CE1C4E" w:rsidRPr="00CF369D" w:rsidRDefault="00CE1C4E" w:rsidP="00CE1C4E">
      <w:r w:rsidRPr="00CF369D">
        <w:t xml:space="preserve">GAAP requirements for risk management and insurance issues are defined in GASB 10, </w:t>
      </w:r>
      <w:r w:rsidRPr="00CF369D">
        <w:rPr>
          <w:i/>
          <w:iCs/>
        </w:rPr>
        <w:t>Accounting and Financial Reporting for Risk Financing and Related Insurance Issues</w:t>
      </w:r>
      <w:r w:rsidRPr="00CF369D">
        <w:t>.</w:t>
      </w:r>
    </w:p>
    <w:p w14:paraId="6F0D6442" w14:textId="77777777" w:rsidR="00CE1C4E" w:rsidRPr="00CF369D" w:rsidRDefault="00CE1C4E" w:rsidP="00CE1C4E">
      <w:r w:rsidRPr="00CF369D">
        <w:t>Within risk management, management identifies risks of operations, determines the level of risk that its operations can absorb and identifies options for financing the risks.</w:t>
      </w:r>
    </w:p>
    <w:p w14:paraId="6FCC2764" w14:textId="77777777" w:rsidR="00CE1C4E" w:rsidRPr="00CF369D" w:rsidRDefault="00CE1C4E" w:rsidP="00CE1C4E">
      <w:pPr>
        <w:spacing w:after="40"/>
      </w:pPr>
      <w:r w:rsidRPr="00CF369D">
        <w:t>Some risk financing options that are available to organizations are to:</w:t>
      </w:r>
    </w:p>
    <w:p w14:paraId="06102B6E" w14:textId="77777777" w:rsidR="00CE1C4E" w:rsidRPr="00CF369D" w:rsidRDefault="00CE1C4E" w:rsidP="00CE1C4E">
      <w:pPr>
        <w:pStyle w:val="Bullet10"/>
        <w:spacing w:before="40" w:after="40"/>
        <w:ind w:hanging="360"/>
      </w:pPr>
      <w:r w:rsidRPr="00CF369D">
        <w:t>o</w:t>
      </w:r>
      <w:r w:rsidRPr="00CF369D">
        <w:tab/>
      </w:r>
      <w:proofErr w:type="gramStart"/>
      <w:r w:rsidRPr="00CF369D">
        <w:t>Insure</w:t>
      </w:r>
      <w:proofErr w:type="gramEnd"/>
      <w:r w:rsidRPr="00CF369D">
        <w:t xml:space="preserve"> risk by paying premiums to an insurance company or to a State claim-paying program (such as the Insurance Reserve Fund) which accepts the risk and agrees to pay the premium-paying organization in the event of a covered loss.</w:t>
      </w:r>
    </w:p>
    <w:p w14:paraId="355ED76E" w14:textId="77777777" w:rsidR="00CE1C4E" w:rsidRDefault="00CE1C4E" w:rsidP="00CE1C4E">
      <w:pPr>
        <w:pStyle w:val="Bullet10"/>
        <w:spacing w:before="40"/>
        <w:ind w:hanging="360"/>
      </w:pPr>
      <w:r w:rsidRPr="00CF369D">
        <w:t>o</w:t>
      </w:r>
      <w:r w:rsidRPr="00CF369D">
        <w:tab/>
        <w:t>"Self-insure" risk which requires the entity to assume responsibility for the full financial loss.</w:t>
      </w:r>
    </w:p>
    <w:p w14:paraId="127B60D8" w14:textId="77777777" w:rsidR="00CE1C4E" w:rsidRPr="00BA1749" w:rsidRDefault="00CE1C4E" w:rsidP="00CE1C4E">
      <w:pPr>
        <w:pStyle w:val="Bullet10"/>
        <w:spacing w:before="40"/>
        <w:ind w:left="0" w:firstLine="0"/>
      </w:pPr>
      <w:r>
        <w:t xml:space="preserve">State policy requires </w:t>
      </w:r>
      <w:r w:rsidRPr="00BA1749">
        <w:t xml:space="preserve">loss contingencies (potential not known) </w:t>
      </w:r>
      <w:r w:rsidR="004078BD">
        <w:t xml:space="preserve">to be </w:t>
      </w:r>
      <w:r w:rsidRPr="00BA1749">
        <w:t>reported if the loss is probable</w:t>
      </w:r>
      <w:r w:rsidR="001D3E8E">
        <w:rPr>
          <w:rStyle w:val="FootnoteReference"/>
          <w:szCs w:val="24"/>
        </w:rPr>
        <w:footnoteReference w:id="51"/>
      </w:r>
      <w:r w:rsidRPr="00BA1749">
        <w:t xml:space="preserve"> and it is practical to estimate the amount of the loss as of June 30.  </w:t>
      </w:r>
    </w:p>
    <w:p w14:paraId="223EF5B1" w14:textId="77777777" w:rsidR="00CE1C4E" w:rsidRPr="00CF369D" w:rsidRDefault="00CE1C4E" w:rsidP="006E09D9">
      <w:pPr>
        <w:pStyle w:val="Heading4"/>
      </w:pPr>
      <w:r w:rsidRPr="00CF369D">
        <w:t>Significant Commitments</w:t>
      </w:r>
    </w:p>
    <w:p w14:paraId="64645C1E" w14:textId="77777777" w:rsidR="00CE1C4E" w:rsidRPr="00CF369D" w:rsidRDefault="00CE1C4E" w:rsidP="006E09D9">
      <w:pPr>
        <w:keepNext/>
      </w:pPr>
      <w:r w:rsidRPr="00CF369D">
        <w:t xml:space="preserve">Commitments arise from contracts and other irrevocable promises to contribute money or provide goods and services to a party outside State government.  </w:t>
      </w:r>
    </w:p>
    <w:p w14:paraId="792EDC69" w14:textId="77777777" w:rsidR="00CE1C4E" w:rsidRPr="00CF369D" w:rsidRDefault="00CE1C4E" w:rsidP="00CE1C4E">
      <w:r w:rsidRPr="00CF369D">
        <w:t xml:space="preserve">GASB Codification Section 2300.106k requires the State to disclose significant commitments existing </w:t>
      </w:r>
      <w:proofErr w:type="gramStart"/>
      <w:r w:rsidRPr="00CF369D">
        <w:t>at</w:t>
      </w:r>
      <w:proofErr w:type="gramEnd"/>
      <w:r w:rsidRPr="00CF369D">
        <w:t xml:space="preserve"> June 30.</w:t>
      </w:r>
    </w:p>
    <w:p w14:paraId="15CAAF78" w14:textId="14FD03AB" w:rsidR="00CE1C4E" w:rsidRPr="00AF19EB" w:rsidRDefault="00CE1C4E" w:rsidP="002513F7">
      <w:pPr>
        <w:keepNext/>
      </w:pPr>
      <w:r w:rsidRPr="00AF19EB">
        <w:t xml:space="preserve">Miscellaneous commitments do not include </w:t>
      </w:r>
      <w:r w:rsidR="00BD62E4">
        <w:t xml:space="preserve">commitments </w:t>
      </w:r>
      <w:r w:rsidR="00BD62E4" w:rsidRPr="00BD62E4">
        <w:rPr>
          <w:szCs w:val="24"/>
        </w:rPr>
        <w:t>for the construction, repair, development, or purchase</w:t>
      </w:r>
      <w:r w:rsidR="00BD62E4">
        <w:rPr>
          <w:szCs w:val="24"/>
        </w:rPr>
        <w:t xml:space="preserve"> </w:t>
      </w:r>
      <w:r w:rsidR="00BD62E4" w:rsidRPr="00BD62E4">
        <w:rPr>
          <w:szCs w:val="24"/>
        </w:rPr>
        <w:t>of capital assets (including lease or subscription commitments that will be capitalized as lease</w:t>
      </w:r>
      <w:r w:rsidR="00BD62E4">
        <w:rPr>
          <w:szCs w:val="24"/>
        </w:rPr>
        <w:t xml:space="preserve"> </w:t>
      </w:r>
      <w:r w:rsidR="00BD62E4" w:rsidRPr="00BD62E4">
        <w:rPr>
          <w:szCs w:val="24"/>
        </w:rPr>
        <w:t>or SBITA assets after year-end</w:t>
      </w:r>
      <w:r w:rsidR="00BD62E4">
        <w:rPr>
          <w:szCs w:val="24"/>
        </w:rPr>
        <w:t>), which are reported on the 3.08 Capital Asset Reporting Package</w:t>
      </w:r>
      <w:r w:rsidR="00BD62E4" w:rsidRPr="0072374F">
        <w:rPr>
          <w:szCs w:val="24"/>
        </w:rPr>
        <w:t xml:space="preserve"> </w:t>
      </w:r>
      <w:r w:rsidR="001D3E8E">
        <w:rPr>
          <w:rStyle w:val="FootnoteReference"/>
          <w:szCs w:val="24"/>
        </w:rPr>
        <w:footnoteReference w:id="52"/>
      </w:r>
      <w:r w:rsidR="001D3E8E">
        <w:t>.</w:t>
      </w:r>
      <w:r w:rsidRPr="00AF19EB">
        <w:t xml:space="preserve">  Examples of miscellaneous commitments are as follows</w:t>
      </w:r>
      <w:r w:rsidRPr="00AF19EB">
        <w:rPr>
          <w:rStyle w:val="FootnoteReference"/>
        </w:rPr>
        <w:footnoteReference w:id="53"/>
      </w:r>
      <w:r w:rsidRPr="00AF19EB">
        <w:t>:</w:t>
      </w:r>
    </w:p>
    <w:p w14:paraId="1BBA43DF" w14:textId="77777777" w:rsidR="00CE1C4E" w:rsidRPr="00AF19EB" w:rsidRDefault="00CE1C4E" w:rsidP="005C2F33">
      <w:pPr>
        <w:numPr>
          <w:ilvl w:val="0"/>
          <w:numId w:val="25"/>
        </w:numPr>
        <w:spacing w:before="0" w:after="0"/>
      </w:pPr>
      <w:r w:rsidRPr="00AF19EB">
        <w:t>An agency has committed in writing to provide grant monies to a county government to fund certain not-yet-constructed infrastructure assets.</w:t>
      </w:r>
    </w:p>
    <w:p w14:paraId="53CA7B1B" w14:textId="77777777" w:rsidR="00CE1C4E" w:rsidRPr="00AF19EB" w:rsidRDefault="00CE1C4E" w:rsidP="005C2F33">
      <w:pPr>
        <w:numPr>
          <w:ilvl w:val="0"/>
          <w:numId w:val="26"/>
        </w:numPr>
        <w:spacing w:before="0" w:after="0"/>
      </w:pPr>
      <w:r w:rsidRPr="00AF19EB">
        <w:t xml:space="preserve">An agency passes federal grant funds through to local governments, and the state agency has administrative or direct financial involvement in the program.  </w:t>
      </w:r>
    </w:p>
    <w:p w14:paraId="19E1A463" w14:textId="77777777" w:rsidR="00CE1C4E" w:rsidRPr="00AF19EB" w:rsidRDefault="00CE1C4E" w:rsidP="005C2F33">
      <w:pPr>
        <w:numPr>
          <w:ilvl w:val="0"/>
          <w:numId w:val="27"/>
        </w:numPr>
        <w:spacing w:before="0" w:after="0"/>
      </w:pPr>
      <w:r w:rsidRPr="00AF19EB">
        <w:t>Unsettled sale contracts containing a provision for payment to others.</w:t>
      </w:r>
    </w:p>
    <w:p w14:paraId="006C1AD3" w14:textId="77777777" w:rsidR="00CE1C4E" w:rsidRPr="00AF19EB" w:rsidRDefault="00CE1C4E" w:rsidP="005C2F33">
      <w:pPr>
        <w:keepNext/>
        <w:numPr>
          <w:ilvl w:val="0"/>
          <w:numId w:val="27"/>
        </w:numPr>
        <w:spacing w:before="0" w:after="0"/>
      </w:pPr>
      <w:r w:rsidRPr="00AF19EB">
        <w:t>Other contracts containing minimum service level guarantees such as:</w:t>
      </w:r>
    </w:p>
    <w:p w14:paraId="15229D6D" w14:textId="77777777" w:rsidR="00CE1C4E" w:rsidRPr="00AF19EB" w:rsidRDefault="00CE1C4E" w:rsidP="005C2F33">
      <w:pPr>
        <w:numPr>
          <w:ilvl w:val="0"/>
          <w:numId w:val="28"/>
        </w:numPr>
        <w:tabs>
          <w:tab w:val="clear" w:pos="720"/>
        </w:tabs>
        <w:spacing w:before="0" w:after="0"/>
        <w:ind w:left="1260"/>
      </w:pPr>
      <w:r w:rsidRPr="00AF19EB">
        <w:t>Contracts with various providers for services to be rendered.</w:t>
      </w:r>
    </w:p>
    <w:p w14:paraId="6BFE2B2C" w14:textId="77777777" w:rsidR="00CE1C4E" w:rsidRPr="00AF19EB" w:rsidRDefault="00CE1C4E" w:rsidP="005C2F33">
      <w:pPr>
        <w:numPr>
          <w:ilvl w:val="0"/>
          <w:numId w:val="28"/>
        </w:numPr>
        <w:tabs>
          <w:tab w:val="clear" w:pos="720"/>
        </w:tabs>
        <w:spacing w:before="0" w:after="0"/>
        <w:ind w:left="1260"/>
      </w:pPr>
      <w:r w:rsidRPr="00AF19EB">
        <w:t>Contracts with vendors for test and assessment services and computerized instruction.</w:t>
      </w:r>
    </w:p>
    <w:p w14:paraId="10CB2941" w14:textId="77777777" w:rsidR="00CE1C4E" w:rsidRPr="00AF19EB" w:rsidRDefault="00CE1C4E" w:rsidP="005C2F33">
      <w:pPr>
        <w:numPr>
          <w:ilvl w:val="0"/>
          <w:numId w:val="28"/>
        </w:numPr>
        <w:tabs>
          <w:tab w:val="clear" w:pos="720"/>
        </w:tabs>
        <w:spacing w:before="0" w:after="0"/>
        <w:ind w:left="1260"/>
      </w:pPr>
      <w:r w:rsidRPr="00AF19EB">
        <w:t>Commitments to participate in advertising pools.</w:t>
      </w:r>
    </w:p>
    <w:p w14:paraId="5CFA563D" w14:textId="77777777" w:rsidR="00CE1C4E" w:rsidRPr="00AF19EB" w:rsidRDefault="00CE1C4E" w:rsidP="00CE1C4E">
      <w:r w:rsidRPr="00AF19EB">
        <w:lastRenderedPageBreak/>
        <w:t xml:space="preserve">Agencies should report only miscellaneous commitments for which contracts were signed or promises were made on or before June 30 of the current fiscal year and the unperformed amounts existed for the agency </w:t>
      </w:r>
      <w:proofErr w:type="gramStart"/>
      <w:r w:rsidRPr="00AF19EB">
        <w:t>at</w:t>
      </w:r>
      <w:proofErr w:type="gramEnd"/>
      <w:r w:rsidRPr="00AF19EB">
        <w:t xml:space="preserve"> June 30.</w:t>
      </w:r>
    </w:p>
    <w:p w14:paraId="0ACB41C6" w14:textId="77777777" w:rsidR="00CE1C4E" w:rsidRPr="00BA1749" w:rsidRDefault="00CE1C4E" w:rsidP="00CE1C4E">
      <w:r w:rsidRPr="00BA1749">
        <w:t xml:space="preserve">For the State to report in accordance with the liquidity segregations of GAAP, the State has established an availability period (see GASB Codification Section 1600.129) of one-year for purposes of reporting these transactions in its Governmental funds.  Accordingly, current is available and non-current is unavailable for presentation purposes in the governmental fund statements.  Thus effectively, the definitions of current and long-term liabilities contained in </w:t>
      </w:r>
      <w:r w:rsidRPr="00BA1749">
        <w:rPr>
          <w:i/>
          <w:iCs/>
        </w:rPr>
        <w:t>Governmental Accounting Standards Board (GASB) Codification</w:t>
      </w:r>
      <w:r w:rsidRPr="00BA1749">
        <w:t xml:space="preserve"> Section 2200.116 are consistent across all fund types and activities.  Specifically, current liabilities are those “due within one year,” and long-term liabilities are those “due in more than one year.”</w:t>
      </w:r>
    </w:p>
    <w:p w14:paraId="32A6F3B7" w14:textId="77777777" w:rsidR="00CE1C4E" w:rsidRPr="00AF19EB" w:rsidRDefault="00CE1C4E" w:rsidP="00CE1C4E">
      <w:pPr>
        <w:spacing w:after="40"/>
      </w:pPr>
      <w:r w:rsidRPr="00AF19EB">
        <w:t>The State has adopted the following policy for compliance with GAAP with respect to loss contingencies:</w:t>
      </w:r>
    </w:p>
    <w:p w14:paraId="49E08274" w14:textId="77777777" w:rsidR="00CE1C4E" w:rsidRPr="00AF19EB" w:rsidRDefault="00CE1C4E" w:rsidP="00CE1C4E">
      <w:pPr>
        <w:spacing w:before="60" w:after="40"/>
        <w:ind w:left="720" w:hanging="360"/>
      </w:pPr>
      <w:r w:rsidRPr="00AF19EB">
        <w:t>o</w:t>
      </w:r>
      <w:r w:rsidRPr="00AF19EB">
        <w:tab/>
        <w:t xml:space="preserve">Disclose loss contingencies which are at least reasonably possible </w:t>
      </w:r>
      <w:proofErr w:type="gramStart"/>
      <w:r w:rsidRPr="00AF19EB">
        <w:t>at</w:t>
      </w:r>
      <w:proofErr w:type="gramEnd"/>
      <w:r w:rsidRPr="00AF19EB">
        <w:t xml:space="preserve"> June 30.</w:t>
      </w:r>
    </w:p>
    <w:p w14:paraId="44F98737" w14:textId="77777777" w:rsidR="00CE1C4E" w:rsidRPr="00AF19EB" w:rsidRDefault="00CE1C4E" w:rsidP="00CE1C4E">
      <w:pPr>
        <w:spacing w:before="60" w:after="40"/>
        <w:ind w:left="720" w:hanging="360"/>
      </w:pPr>
      <w:r w:rsidRPr="00AF19EB">
        <w:t>o</w:t>
      </w:r>
      <w:r w:rsidRPr="00AF19EB">
        <w:tab/>
        <w:t xml:space="preserve">Disclose major loss situations that arise during the subsequent period (all significant transactions </w:t>
      </w:r>
      <w:proofErr w:type="gramStart"/>
      <w:r w:rsidRPr="00AF19EB">
        <w:t>subsequent to</w:t>
      </w:r>
      <w:proofErr w:type="gramEnd"/>
      <w:r w:rsidRPr="00AF19EB">
        <w:t xml:space="preserve"> year-end are required to be disclosed).</w:t>
      </w:r>
    </w:p>
    <w:p w14:paraId="33C5121D" w14:textId="77777777" w:rsidR="00CE1C4E" w:rsidRPr="00AF19EB" w:rsidRDefault="00CE1C4E" w:rsidP="00CE1C4E">
      <w:pPr>
        <w:spacing w:before="60"/>
        <w:ind w:left="720" w:hanging="360"/>
      </w:pPr>
      <w:r w:rsidRPr="00AF19EB">
        <w:t>o</w:t>
      </w:r>
      <w:r w:rsidRPr="00AF19EB">
        <w:tab/>
        <w:t xml:space="preserve">Disclose commitments existing </w:t>
      </w:r>
      <w:proofErr w:type="gramStart"/>
      <w:r w:rsidRPr="00AF19EB">
        <w:t>at</w:t>
      </w:r>
      <w:proofErr w:type="gramEnd"/>
      <w:r w:rsidRPr="00AF19EB">
        <w:t xml:space="preserve"> June 30.</w:t>
      </w:r>
    </w:p>
    <w:p w14:paraId="2A54A0CD" w14:textId="77777777" w:rsidR="00CE1C4E" w:rsidRDefault="00CE1C4E" w:rsidP="00CE1C4E">
      <w:r w:rsidRPr="00AF19EB">
        <w:t xml:space="preserve">The State will neither disclose the potential nor report liabilities for situations where the chance of loss to the State is remote.  However, </w:t>
      </w:r>
      <w:r>
        <w:t>guarantee</w:t>
      </w:r>
      <w:r w:rsidRPr="00AF19EB">
        <w:t xml:space="preserve"> of the debt of others is a required disclosure and will be disclosed by the State in all instances, even if the probability of loss is remote.  </w:t>
      </w:r>
    </w:p>
    <w:p w14:paraId="0BA9B024" w14:textId="77777777" w:rsidR="00EF39D1" w:rsidRPr="00AF19EB" w:rsidRDefault="00EF39D1" w:rsidP="00CE1C4E"/>
    <w:p w14:paraId="07D71C7D" w14:textId="77777777" w:rsidR="0012040B" w:rsidRDefault="00CE1C4E" w:rsidP="003B02BA">
      <w:pPr>
        <w:pStyle w:val="Heading2"/>
      </w:pPr>
      <w:bookmarkStart w:id="339" w:name="_Toc296021474"/>
      <w:bookmarkStart w:id="340" w:name="_Toc296021563"/>
      <w:bookmarkStart w:id="341" w:name="_Toc296235455"/>
      <w:bookmarkStart w:id="342" w:name="_Toc296235556"/>
      <w:bookmarkStart w:id="343" w:name="_Toc296247843"/>
      <w:bookmarkStart w:id="344" w:name="_Toc166149289"/>
      <w:r w:rsidRPr="007D55DC">
        <w:t>Section _.1</w:t>
      </w:r>
      <w:r>
        <w:t>7</w:t>
      </w:r>
      <w:r w:rsidRPr="007D55DC">
        <w:t xml:space="preserve"> </w:t>
      </w:r>
      <w:bookmarkEnd w:id="339"/>
      <w:bookmarkEnd w:id="340"/>
      <w:bookmarkEnd w:id="341"/>
      <w:bookmarkEnd w:id="342"/>
      <w:bookmarkEnd w:id="343"/>
      <w:r w:rsidR="00AD33F9">
        <w:t>Other Payroll Related Liabilities</w:t>
      </w:r>
      <w:bookmarkEnd w:id="344"/>
    </w:p>
    <w:p w14:paraId="626C9EDB" w14:textId="0A90C272" w:rsidR="00CE1C4E" w:rsidRPr="00AF19EB" w:rsidRDefault="00CE1C4E" w:rsidP="00EF39D1">
      <w:pPr>
        <w:keepLines/>
        <w:spacing w:before="0"/>
        <w:rPr>
          <w:rFonts w:eastAsia="Calibri"/>
          <w:szCs w:val="24"/>
        </w:rPr>
      </w:pPr>
      <w:r>
        <w:rPr>
          <w:rFonts w:eastAsia="Calibri"/>
        </w:rPr>
        <w:t>Accumulated employee bala</w:t>
      </w:r>
      <w:r w:rsidR="0072027B">
        <w:rPr>
          <w:rFonts w:eastAsia="Calibri"/>
        </w:rPr>
        <w:t>nces of annual leave</w:t>
      </w:r>
      <w:r>
        <w:rPr>
          <w:rFonts w:eastAsia="Calibri"/>
        </w:rPr>
        <w:t xml:space="preserve">, </w:t>
      </w:r>
      <w:r w:rsidR="0017429F">
        <w:rPr>
          <w:rFonts w:eastAsia="Calibri"/>
        </w:rPr>
        <w:t xml:space="preserve">sick leave, </w:t>
      </w:r>
      <w:r>
        <w:rPr>
          <w:rFonts w:eastAsia="Calibri"/>
        </w:rPr>
        <w:t xml:space="preserve">compensatory time, and holiday compensatory time are called </w:t>
      </w:r>
      <w:r w:rsidRPr="00743B15">
        <w:rPr>
          <w:rFonts w:eastAsia="Calibri"/>
        </w:rPr>
        <w:t>compensated absences</w:t>
      </w:r>
      <w:r w:rsidR="001D3E8E">
        <w:rPr>
          <w:rStyle w:val="FootnoteReference"/>
          <w:szCs w:val="24"/>
        </w:rPr>
        <w:footnoteReference w:id="54"/>
      </w:r>
      <w:r>
        <w:rPr>
          <w:rFonts w:eastAsia="Calibri"/>
        </w:rPr>
        <w:t>.</w:t>
      </w:r>
      <w:r w:rsidRPr="007A3AF7">
        <w:rPr>
          <w:rFonts w:eastAsia="Calibri"/>
        </w:rPr>
        <w:t xml:space="preserve">  </w:t>
      </w:r>
      <w:r>
        <w:rPr>
          <w:rFonts w:eastAsia="Calibri"/>
        </w:rPr>
        <w:t xml:space="preserve">GAAP requires that the State report a liability </w:t>
      </w:r>
      <w:r w:rsidR="00743B15">
        <w:rPr>
          <w:rFonts w:eastAsia="Calibri"/>
        </w:rPr>
        <w:t>i</w:t>
      </w:r>
      <w:r>
        <w:rPr>
          <w:rFonts w:eastAsia="Calibri"/>
        </w:rPr>
        <w:t xml:space="preserve">n its financial statements as of June 30 for the value of certain compensated absences.  Disclosures </w:t>
      </w:r>
      <w:r w:rsidR="008E3A2E">
        <w:rPr>
          <w:rFonts w:eastAsia="Calibri"/>
        </w:rPr>
        <w:t xml:space="preserve">are </w:t>
      </w:r>
      <w:r>
        <w:rPr>
          <w:rFonts w:eastAsia="Calibri"/>
        </w:rPr>
        <w:t xml:space="preserve">required </w:t>
      </w:r>
      <w:r w:rsidR="008E3A2E">
        <w:rPr>
          <w:rFonts w:eastAsia="Calibri"/>
        </w:rPr>
        <w:t xml:space="preserve">to </w:t>
      </w:r>
      <w:r>
        <w:rPr>
          <w:rFonts w:eastAsia="Calibri"/>
        </w:rPr>
        <w:t>include th</w:t>
      </w:r>
      <w:r w:rsidR="008E3A2E">
        <w:rPr>
          <w:rFonts w:eastAsia="Calibri"/>
        </w:rPr>
        <w:t xml:space="preserve">e increases and decreases in this liability </w:t>
      </w:r>
      <w:r>
        <w:rPr>
          <w:rFonts w:eastAsia="Calibri"/>
        </w:rPr>
        <w:t xml:space="preserve">for the reporting year along with the amount </w:t>
      </w:r>
      <w:r w:rsidR="008E3A2E">
        <w:rPr>
          <w:rFonts w:eastAsia="Calibri"/>
        </w:rPr>
        <w:t xml:space="preserve">estimated </w:t>
      </w:r>
      <w:r>
        <w:rPr>
          <w:rFonts w:eastAsia="Calibri"/>
        </w:rPr>
        <w:t xml:space="preserve">to be paid in the next fiscal year.  </w:t>
      </w:r>
    </w:p>
    <w:p w14:paraId="7C172147" w14:textId="77777777" w:rsidR="00CE1C4E" w:rsidRPr="00AF19EB" w:rsidRDefault="00CE1C4E" w:rsidP="006E09D9">
      <w:pPr>
        <w:pStyle w:val="Heading3"/>
      </w:pPr>
      <w:bookmarkStart w:id="345" w:name="_Toc296021475"/>
      <w:bookmarkStart w:id="346" w:name="_Toc296021564"/>
      <w:bookmarkStart w:id="347" w:name="_Toc296235456"/>
      <w:bookmarkStart w:id="348" w:name="_Toc296235557"/>
      <w:bookmarkStart w:id="349" w:name="_Toc296247844"/>
      <w:bookmarkStart w:id="350" w:name="_Toc166149290"/>
      <w:r w:rsidRPr="00AF19EB">
        <w:t>Compensated Absence Liability</w:t>
      </w:r>
      <w:bookmarkEnd w:id="345"/>
      <w:bookmarkEnd w:id="346"/>
      <w:bookmarkEnd w:id="347"/>
      <w:bookmarkEnd w:id="348"/>
      <w:bookmarkEnd w:id="349"/>
      <w:bookmarkEnd w:id="350"/>
    </w:p>
    <w:p w14:paraId="1E64AC50" w14:textId="77777777" w:rsidR="00CE1C4E" w:rsidRDefault="00743B15" w:rsidP="00CE1C4E">
      <w:pPr>
        <w:spacing w:before="40" w:after="40"/>
        <w:rPr>
          <w:rFonts w:eastAsia="Calibri"/>
          <w:szCs w:val="24"/>
        </w:rPr>
      </w:pPr>
      <w:r>
        <w:rPr>
          <w:rFonts w:eastAsia="Calibri"/>
          <w:szCs w:val="24"/>
        </w:rPr>
        <w:t>GAAP</w:t>
      </w:r>
      <w:r w:rsidR="00CE1C4E" w:rsidRPr="00AF19EB">
        <w:rPr>
          <w:rFonts w:eastAsia="Calibri"/>
          <w:szCs w:val="24"/>
        </w:rPr>
        <w:t xml:space="preserve"> relating to </w:t>
      </w:r>
      <w:r w:rsidR="00CE1C4E" w:rsidRPr="007A3AF7">
        <w:rPr>
          <w:rFonts w:eastAsia="Calibri"/>
          <w:szCs w:val="24"/>
        </w:rPr>
        <w:t>compensated absences</w:t>
      </w:r>
      <w:r w:rsidR="00CE1C4E" w:rsidRPr="00AF19EB">
        <w:rPr>
          <w:rFonts w:eastAsia="Calibri"/>
          <w:szCs w:val="24"/>
        </w:rPr>
        <w:t xml:space="preserve"> are </w:t>
      </w:r>
      <w:r w:rsidR="008E3A2E">
        <w:rPr>
          <w:rFonts w:eastAsia="Calibri"/>
          <w:szCs w:val="24"/>
        </w:rPr>
        <w:t>detailed</w:t>
      </w:r>
      <w:r>
        <w:rPr>
          <w:rFonts w:eastAsia="Calibri"/>
          <w:szCs w:val="24"/>
        </w:rPr>
        <w:t xml:space="preserve"> in</w:t>
      </w:r>
      <w:r w:rsidR="00CE1C4E" w:rsidRPr="00AF19EB">
        <w:rPr>
          <w:rFonts w:eastAsia="Calibri"/>
          <w:szCs w:val="24"/>
        </w:rPr>
        <w:t>:</w:t>
      </w:r>
    </w:p>
    <w:p w14:paraId="151070B4" w14:textId="7C2792F9" w:rsidR="0017429F" w:rsidRPr="0017429F" w:rsidRDefault="0017429F" w:rsidP="0017429F">
      <w:pPr>
        <w:pStyle w:val="Bullet10"/>
        <w:spacing w:before="40" w:after="40"/>
        <w:ind w:hanging="360"/>
        <w:rPr>
          <w:szCs w:val="24"/>
        </w:rPr>
      </w:pPr>
      <w:r w:rsidRPr="00AF19EB">
        <w:rPr>
          <w:szCs w:val="24"/>
        </w:rPr>
        <w:t>o</w:t>
      </w:r>
      <w:r w:rsidRPr="00AF19EB">
        <w:rPr>
          <w:szCs w:val="24"/>
        </w:rPr>
        <w:tab/>
        <w:t>GASB Statement</w:t>
      </w:r>
      <w:r>
        <w:rPr>
          <w:szCs w:val="24"/>
        </w:rPr>
        <w:t xml:space="preserve"> </w:t>
      </w:r>
      <w:r>
        <w:rPr>
          <w:szCs w:val="24"/>
        </w:rPr>
        <w:t>101</w:t>
      </w:r>
      <w:r w:rsidRPr="00AF19EB">
        <w:rPr>
          <w:szCs w:val="24"/>
        </w:rPr>
        <w:t xml:space="preserve">, </w:t>
      </w:r>
      <w:r w:rsidRPr="007A3AF7">
        <w:rPr>
          <w:i/>
          <w:szCs w:val="24"/>
        </w:rPr>
        <w:t>Compensated Absences</w:t>
      </w:r>
      <w:r>
        <w:rPr>
          <w:szCs w:val="24"/>
        </w:rPr>
        <w:t>.</w:t>
      </w:r>
      <w:r w:rsidRPr="00AF19EB">
        <w:rPr>
          <w:szCs w:val="24"/>
        </w:rPr>
        <w:t xml:space="preserve">  </w:t>
      </w:r>
    </w:p>
    <w:p w14:paraId="173334EF" w14:textId="77777777" w:rsidR="00CE1C4E" w:rsidRPr="00AF19EB" w:rsidRDefault="00CE1C4E" w:rsidP="00CE1C4E">
      <w:pPr>
        <w:pStyle w:val="Bullet10"/>
        <w:spacing w:before="40" w:after="40"/>
        <w:ind w:hanging="360"/>
        <w:rPr>
          <w:szCs w:val="24"/>
        </w:rPr>
      </w:pPr>
      <w:r w:rsidRPr="00AF19EB">
        <w:rPr>
          <w:szCs w:val="24"/>
        </w:rPr>
        <w:t>o</w:t>
      </w:r>
      <w:r w:rsidRPr="00AF19EB">
        <w:rPr>
          <w:szCs w:val="24"/>
        </w:rPr>
        <w:tab/>
        <w:t>GASB Statement</w:t>
      </w:r>
      <w:r>
        <w:rPr>
          <w:szCs w:val="24"/>
        </w:rPr>
        <w:t xml:space="preserve"> </w:t>
      </w:r>
      <w:r w:rsidRPr="00AF19EB">
        <w:rPr>
          <w:szCs w:val="24"/>
        </w:rPr>
        <w:t xml:space="preserve">16, </w:t>
      </w:r>
      <w:r w:rsidRPr="007A3AF7">
        <w:rPr>
          <w:i/>
          <w:szCs w:val="24"/>
        </w:rPr>
        <w:t>Accounting for Compensated Absences</w:t>
      </w:r>
      <w:r>
        <w:rPr>
          <w:szCs w:val="24"/>
        </w:rPr>
        <w:t>.</w:t>
      </w:r>
      <w:r w:rsidRPr="00AF19EB">
        <w:rPr>
          <w:szCs w:val="24"/>
        </w:rPr>
        <w:t xml:space="preserve">  </w:t>
      </w:r>
    </w:p>
    <w:p w14:paraId="4A1FD02A" w14:textId="331E3FDF" w:rsidR="0017429F" w:rsidRPr="00AF19EB" w:rsidRDefault="00CE1C4E" w:rsidP="0017429F">
      <w:pPr>
        <w:pStyle w:val="Bullet10"/>
        <w:spacing w:before="40" w:after="80"/>
        <w:ind w:hanging="360"/>
        <w:rPr>
          <w:szCs w:val="24"/>
        </w:rPr>
      </w:pPr>
      <w:r w:rsidRPr="00AF19EB">
        <w:rPr>
          <w:szCs w:val="24"/>
        </w:rPr>
        <w:t>o</w:t>
      </w:r>
      <w:r w:rsidRPr="00AF19EB">
        <w:rPr>
          <w:szCs w:val="24"/>
        </w:rPr>
        <w:tab/>
        <w:t>GASB Codification Sections C60.101 through C60.1</w:t>
      </w:r>
      <w:r w:rsidR="0017429F">
        <w:rPr>
          <w:szCs w:val="24"/>
        </w:rPr>
        <w:t>26</w:t>
      </w:r>
      <w:r w:rsidRPr="00AF19EB">
        <w:rPr>
          <w:szCs w:val="24"/>
        </w:rPr>
        <w:t xml:space="preserve">. </w:t>
      </w:r>
    </w:p>
    <w:p w14:paraId="00A8BAFC" w14:textId="77777777" w:rsidR="00CE1C4E" w:rsidRPr="00C9710A" w:rsidRDefault="00CE1C4E" w:rsidP="006E09D9">
      <w:pPr>
        <w:pStyle w:val="Heading4"/>
        <w:rPr>
          <w:rFonts w:eastAsia="Calibri"/>
        </w:rPr>
      </w:pPr>
      <w:r w:rsidRPr="00C9710A">
        <w:rPr>
          <w:rFonts w:eastAsia="Calibri"/>
        </w:rPr>
        <w:t>Leave Balances</w:t>
      </w:r>
    </w:p>
    <w:p w14:paraId="641A0101" w14:textId="77777777" w:rsidR="00CE1C4E" w:rsidRPr="00AF19EB" w:rsidRDefault="00CE1C4E" w:rsidP="00CE1C4E">
      <w:pPr>
        <w:spacing w:before="40" w:after="40"/>
        <w:rPr>
          <w:rFonts w:eastAsia="Calibri"/>
          <w:szCs w:val="24"/>
        </w:rPr>
      </w:pPr>
      <w:r w:rsidRPr="00AF19EB">
        <w:rPr>
          <w:rFonts w:eastAsia="Calibri"/>
          <w:szCs w:val="24"/>
        </w:rPr>
        <w:t>Based on GAAP, the State</w:t>
      </w:r>
      <w:r>
        <w:rPr>
          <w:rFonts w:eastAsia="Calibri"/>
          <w:szCs w:val="24"/>
        </w:rPr>
        <w:t xml:space="preserve"> has identified the following leave balances which qualify for recognition and reporting of compensated absences:</w:t>
      </w:r>
      <w:r w:rsidRPr="00AF19EB">
        <w:rPr>
          <w:rFonts w:eastAsia="Calibri"/>
          <w:szCs w:val="24"/>
        </w:rPr>
        <w:t xml:space="preserve"> </w:t>
      </w:r>
    </w:p>
    <w:p w14:paraId="54A56AB1" w14:textId="77777777" w:rsidR="00CE1C4E" w:rsidRPr="00AF19EB" w:rsidRDefault="0072027B" w:rsidP="00CE1C4E">
      <w:pPr>
        <w:pStyle w:val="Bullet10"/>
        <w:spacing w:before="40" w:after="40"/>
        <w:ind w:hanging="360"/>
        <w:rPr>
          <w:szCs w:val="24"/>
        </w:rPr>
      </w:pPr>
      <w:r>
        <w:rPr>
          <w:szCs w:val="24"/>
        </w:rPr>
        <w:t>o</w:t>
      </w:r>
      <w:r>
        <w:rPr>
          <w:szCs w:val="24"/>
        </w:rPr>
        <w:tab/>
        <w:t>U</w:t>
      </w:r>
      <w:r w:rsidR="00CE1C4E" w:rsidRPr="00AF19EB">
        <w:rPr>
          <w:szCs w:val="24"/>
        </w:rPr>
        <w:t>nused annual leave earned by employees.</w:t>
      </w:r>
    </w:p>
    <w:p w14:paraId="68FAD9BF" w14:textId="77777777" w:rsidR="00CE1C4E" w:rsidRPr="00AF19EB" w:rsidRDefault="0072027B" w:rsidP="00CE1C4E">
      <w:pPr>
        <w:pStyle w:val="Bullet10"/>
        <w:spacing w:before="40" w:after="40"/>
        <w:ind w:hanging="360"/>
        <w:rPr>
          <w:szCs w:val="24"/>
        </w:rPr>
      </w:pPr>
      <w:r>
        <w:rPr>
          <w:szCs w:val="24"/>
        </w:rPr>
        <w:lastRenderedPageBreak/>
        <w:t>o</w:t>
      </w:r>
      <w:r>
        <w:rPr>
          <w:szCs w:val="24"/>
        </w:rPr>
        <w:tab/>
        <w:t>U</w:t>
      </w:r>
      <w:r w:rsidR="00CE1C4E" w:rsidRPr="00AF19EB">
        <w:rPr>
          <w:szCs w:val="24"/>
        </w:rPr>
        <w:t>nused holiday compensatory time.</w:t>
      </w:r>
    </w:p>
    <w:p w14:paraId="50E96CC8" w14:textId="77777777" w:rsidR="0017429F" w:rsidRDefault="0072027B" w:rsidP="00CE1C4E">
      <w:pPr>
        <w:pStyle w:val="Bullet10"/>
        <w:spacing w:before="40" w:after="80"/>
        <w:ind w:hanging="360"/>
        <w:rPr>
          <w:szCs w:val="24"/>
        </w:rPr>
      </w:pPr>
      <w:r>
        <w:rPr>
          <w:szCs w:val="24"/>
        </w:rPr>
        <w:t>o</w:t>
      </w:r>
      <w:r>
        <w:rPr>
          <w:szCs w:val="24"/>
        </w:rPr>
        <w:tab/>
        <w:t>U</w:t>
      </w:r>
      <w:r w:rsidR="00CE1C4E" w:rsidRPr="00AF19EB">
        <w:rPr>
          <w:szCs w:val="24"/>
        </w:rPr>
        <w:t>nused overtime compensatory time.</w:t>
      </w:r>
    </w:p>
    <w:p w14:paraId="7A805F3B" w14:textId="3722E7C9" w:rsidR="00CE1C4E" w:rsidRPr="00AF19EB" w:rsidRDefault="0017429F" w:rsidP="0017429F">
      <w:pPr>
        <w:pStyle w:val="Bullet10"/>
        <w:spacing w:before="40" w:after="80"/>
        <w:ind w:hanging="360"/>
        <w:rPr>
          <w:szCs w:val="24"/>
        </w:rPr>
      </w:pPr>
      <w:r>
        <w:rPr>
          <w:szCs w:val="24"/>
        </w:rPr>
        <w:t>o</w:t>
      </w:r>
      <w:r>
        <w:rPr>
          <w:szCs w:val="24"/>
        </w:rPr>
        <w:tab/>
        <w:t>U</w:t>
      </w:r>
      <w:r w:rsidRPr="00AF19EB">
        <w:rPr>
          <w:szCs w:val="24"/>
        </w:rPr>
        <w:t xml:space="preserve">nused </w:t>
      </w:r>
      <w:r>
        <w:rPr>
          <w:szCs w:val="24"/>
        </w:rPr>
        <w:t>sick leave earned by employees.</w:t>
      </w:r>
      <w:r w:rsidR="00CE1C4E" w:rsidRPr="00AF19EB">
        <w:rPr>
          <w:szCs w:val="24"/>
        </w:rPr>
        <w:t xml:space="preserve"> </w:t>
      </w:r>
    </w:p>
    <w:p w14:paraId="29D25B63" w14:textId="77777777" w:rsidR="00CE1C4E" w:rsidRDefault="00CE1C4E" w:rsidP="00C17807">
      <w:pPr>
        <w:keepLines/>
        <w:rPr>
          <w:rFonts w:eastAsia="Calibri"/>
        </w:rPr>
      </w:pPr>
      <w:r>
        <w:rPr>
          <w:rFonts w:eastAsia="Calibri"/>
        </w:rPr>
        <w:t xml:space="preserve">Employees who work on legal holidays must receive regular hourly pay for the time worked or compensatory time off.  The compensated absences liability </w:t>
      </w:r>
      <w:proofErr w:type="gramStart"/>
      <w:r>
        <w:rPr>
          <w:rFonts w:eastAsia="Calibri"/>
        </w:rPr>
        <w:t>at</w:t>
      </w:r>
      <w:proofErr w:type="gramEnd"/>
      <w:r>
        <w:rPr>
          <w:rFonts w:eastAsia="Calibri"/>
        </w:rPr>
        <w:t xml:space="preserve"> J</w:t>
      </w:r>
      <w:r w:rsidR="008E3A2E">
        <w:rPr>
          <w:rFonts w:eastAsia="Calibri"/>
        </w:rPr>
        <w:t xml:space="preserve">une 30 will include </w:t>
      </w:r>
      <w:r>
        <w:rPr>
          <w:rFonts w:eastAsia="Calibri"/>
        </w:rPr>
        <w:t xml:space="preserve">unused compensatory time for </w:t>
      </w:r>
      <w:r>
        <w:rPr>
          <w:rFonts w:eastAsia="Calibri"/>
          <w:b/>
        </w:rPr>
        <w:t xml:space="preserve">all </w:t>
      </w:r>
      <w:r w:rsidR="008E3A2E">
        <w:rPr>
          <w:rFonts w:eastAsia="Calibri"/>
        </w:rPr>
        <w:t>employees (</w:t>
      </w:r>
      <w:r>
        <w:rPr>
          <w:rFonts w:eastAsia="Calibri"/>
        </w:rPr>
        <w:t>regardless of their status under the Fair Labor Standards Act)</w:t>
      </w:r>
      <w:r>
        <w:rPr>
          <w:rFonts w:eastAsia="Calibri"/>
          <w:b/>
        </w:rPr>
        <w:t>.</w:t>
      </w:r>
      <w:r>
        <w:rPr>
          <w:rFonts w:eastAsia="Calibri"/>
        </w:rPr>
        <w:t xml:space="preserve">  </w:t>
      </w:r>
    </w:p>
    <w:p w14:paraId="0608AFAC" w14:textId="77777777" w:rsidR="00CE1C4E" w:rsidRDefault="00CE1C4E" w:rsidP="00CE1C4E">
      <w:pPr>
        <w:rPr>
          <w:rFonts w:eastAsia="Calibri"/>
        </w:rPr>
      </w:pPr>
      <w:r>
        <w:rPr>
          <w:rFonts w:eastAsia="Calibri"/>
        </w:rPr>
        <w:t xml:space="preserve">State agency policies vary regarding overtime work.  Some agencies pay employees for overtime worked; others give compensatory time off.  The compensated absences liability </w:t>
      </w:r>
      <w:proofErr w:type="gramStart"/>
      <w:r>
        <w:rPr>
          <w:rFonts w:eastAsia="Calibri"/>
        </w:rPr>
        <w:t>at</w:t>
      </w:r>
      <w:proofErr w:type="gramEnd"/>
      <w:r>
        <w:rPr>
          <w:rFonts w:eastAsia="Calibri"/>
        </w:rPr>
        <w:t xml:space="preserve"> June 30 will include accumulated unused compensatory time for </w:t>
      </w:r>
      <w:r>
        <w:rPr>
          <w:rFonts w:eastAsia="Calibri"/>
          <w:b/>
        </w:rPr>
        <w:t xml:space="preserve">all </w:t>
      </w:r>
      <w:r>
        <w:rPr>
          <w:rFonts w:eastAsia="Calibri"/>
        </w:rPr>
        <w:t>employees (i.e., regardless of their status under the Fair Labor Standards Act and regardless of whether the agency intends to provide overtime pay or paid time off work).</w:t>
      </w:r>
    </w:p>
    <w:p w14:paraId="164810A2" w14:textId="77777777" w:rsidR="00CE1C4E" w:rsidRDefault="00CE1C4E" w:rsidP="00CE1C4E">
      <w:pPr>
        <w:spacing w:after="40"/>
        <w:rPr>
          <w:rFonts w:eastAsia="Calibri"/>
        </w:rPr>
      </w:pPr>
      <w:r>
        <w:rPr>
          <w:rFonts w:eastAsia="Calibri"/>
        </w:rPr>
        <w:t>It is the State's policy not to record a liability for the value of:</w:t>
      </w:r>
    </w:p>
    <w:p w14:paraId="65B2E4B3" w14:textId="77777777" w:rsidR="00CE1C4E" w:rsidRDefault="00CE1C4E" w:rsidP="00CE1C4E">
      <w:pPr>
        <w:pStyle w:val="Bullet10"/>
        <w:spacing w:before="40" w:after="40"/>
        <w:ind w:hanging="360"/>
      </w:pPr>
      <w:r w:rsidRPr="00AF19EB">
        <w:t>o</w:t>
      </w:r>
      <w:r w:rsidRPr="00AF19EB">
        <w:tab/>
        <w:t xml:space="preserve">Annual leave transferred to employees from a pool leave account under the </w:t>
      </w:r>
      <w:r w:rsidRPr="00EE15C1">
        <w:t>State Employee Leave</w:t>
      </w:r>
      <w:r w:rsidR="00743B15">
        <w:t>-</w:t>
      </w:r>
      <w:r w:rsidRPr="00EE15C1">
        <w:t>Transfer Program</w:t>
      </w:r>
      <w:r w:rsidR="001D3E8E">
        <w:rPr>
          <w:rStyle w:val="FootnoteReference"/>
          <w:szCs w:val="24"/>
        </w:rPr>
        <w:footnoteReference w:id="55"/>
      </w:r>
    </w:p>
    <w:p w14:paraId="68130657" w14:textId="54976C3C" w:rsidR="00CE1C4E" w:rsidRPr="00AF19EB" w:rsidRDefault="00CE1C4E" w:rsidP="0017429F">
      <w:pPr>
        <w:pStyle w:val="Bullet10"/>
        <w:spacing w:before="40" w:after="40"/>
        <w:ind w:hanging="360"/>
      </w:pPr>
      <w:r w:rsidRPr="00AF19EB">
        <w:t>o</w:t>
      </w:r>
      <w:r w:rsidRPr="00AF19EB">
        <w:tab/>
      </w:r>
      <w:r>
        <w:t>A</w:t>
      </w:r>
      <w:r w:rsidRPr="00AF19EB">
        <w:t xml:space="preserve">ccumulated leave in the </w:t>
      </w:r>
      <w:r>
        <w:t xml:space="preserve">State Employee Leave-Transfer Program </w:t>
      </w:r>
      <w:r w:rsidRPr="00AF19EB">
        <w:t>pool leave account.</w:t>
      </w:r>
    </w:p>
    <w:p w14:paraId="3CE7169D" w14:textId="77777777" w:rsidR="00CE1C4E" w:rsidRDefault="00CE1C4E" w:rsidP="006E09D9">
      <w:pPr>
        <w:pStyle w:val="Heading4"/>
        <w:rPr>
          <w:rFonts w:eastAsia="Calibri"/>
        </w:rPr>
      </w:pPr>
      <w:r>
        <w:rPr>
          <w:rFonts w:eastAsia="Calibri"/>
        </w:rPr>
        <w:t xml:space="preserve">Pay Rate in Effect </w:t>
      </w:r>
      <w:proofErr w:type="gramStart"/>
      <w:r>
        <w:rPr>
          <w:rFonts w:eastAsia="Calibri"/>
        </w:rPr>
        <w:t>at</w:t>
      </w:r>
      <w:proofErr w:type="gramEnd"/>
      <w:r>
        <w:rPr>
          <w:rFonts w:eastAsia="Calibri"/>
        </w:rPr>
        <w:t xml:space="preserve"> June 30.  </w:t>
      </w:r>
    </w:p>
    <w:p w14:paraId="085B6B2B" w14:textId="77777777" w:rsidR="00CE1C4E" w:rsidRDefault="00CE1C4E" w:rsidP="00CE1C4E">
      <w:pPr>
        <w:spacing w:before="40" w:after="40"/>
        <w:rPr>
          <w:rFonts w:eastAsia="Calibri"/>
        </w:rPr>
      </w:pPr>
      <w:r>
        <w:rPr>
          <w:rFonts w:eastAsia="Calibri"/>
        </w:rPr>
        <w:t>The compensated absence liability for an em</w:t>
      </w:r>
      <w:r w:rsidR="0072027B">
        <w:rPr>
          <w:rFonts w:eastAsia="Calibri"/>
        </w:rPr>
        <w:t xml:space="preserve">ployee is based on the </w:t>
      </w:r>
      <w:r>
        <w:rPr>
          <w:rFonts w:eastAsia="Calibri"/>
        </w:rPr>
        <w:t xml:space="preserve">hourly pay rate (dollars and cents) that is in effect </w:t>
      </w:r>
      <w:proofErr w:type="gramStart"/>
      <w:r>
        <w:rPr>
          <w:rFonts w:eastAsia="Calibri"/>
        </w:rPr>
        <w:t>at</w:t>
      </w:r>
      <w:proofErr w:type="gramEnd"/>
      <w:r>
        <w:rPr>
          <w:rFonts w:eastAsia="Calibri"/>
        </w:rPr>
        <w:t xml:space="preserve"> June 30.  Because of the State's "payroll lag," the</w:t>
      </w:r>
      <w:r w:rsidRPr="00C9710A">
        <w:rPr>
          <w:rFonts w:eastAsia="Calibri"/>
        </w:rPr>
        <w:t xml:space="preserve"> pay rate in effect </w:t>
      </w:r>
      <w:proofErr w:type="gramStart"/>
      <w:r w:rsidRPr="00C9710A">
        <w:rPr>
          <w:rFonts w:eastAsia="Calibri"/>
        </w:rPr>
        <w:t>at</w:t>
      </w:r>
      <w:proofErr w:type="gramEnd"/>
      <w:r w:rsidRPr="00C9710A">
        <w:rPr>
          <w:rFonts w:eastAsia="Calibri"/>
        </w:rPr>
        <w:t xml:space="preserve"> June 30 </w:t>
      </w:r>
      <w:r>
        <w:rPr>
          <w:rFonts w:eastAsia="Calibri"/>
        </w:rPr>
        <w:t>includes the following pay increases:</w:t>
      </w:r>
    </w:p>
    <w:p w14:paraId="362AF3D7" w14:textId="77777777" w:rsidR="00CE1C4E" w:rsidRPr="00715637" w:rsidRDefault="00CE1C4E" w:rsidP="00CE1C4E">
      <w:pPr>
        <w:pStyle w:val="Bullet10"/>
        <w:spacing w:before="40" w:after="40"/>
        <w:ind w:hanging="360"/>
      </w:pPr>
      <w:r w:rsidRPr="00715637">
        <w:t>o</w:t>
      </w:r>
      <w:r w:rsidRPr="00715637">
        <w:tab/>
        <w:t xml:space="preserve">General pay increases (such as cost-of-living increases) </w:t>
      </w:r>
      <w:r w:rsidR="006A6CBC">
        <w:t>entered with June effective dates</w:t>
      </w:r>
      <w:r w:rsidR="006A6CBC" w:rsidRPr="00715637">
        <w:t xml:space="preserve"> </w:t>
      </w:r>
      <w:r w:rsidR="006A6CBC">
        <w:t>because</w:t>
      </w:r>
      <w:r w:rsidRPr="00715637">
        <w:t xml:space="preserve"> the General Assembly authorizes </w:t>
      </w:r>
      <w:r w:rsidR="006A6CBC">
        <w:t xml:space="preserve">it </w:t>
      </w:r>
      <w:r w:rsidRPr="00715637">
        <w:t>to be paid on July</w:t>
      </w:r>
      <w:r>
        <w:t xml:space="preserve"> </w:t>
      </w:r>
      <w:r w:rsidRPr="00715637">
        <w:t>1.</w:t>
      </w:r>
    </w:p>
    <w:p w14:paraId="28D940D2" w14:textId="77777777" w:rsidR="00CE1C4E" w:rsidRPr="00715637" w:rsidRDefault="00CE1C4E" w:rsidP="00CE1C4E">
      <w:pPr>
        <w:pStyle w:val="Bullet10"/>
        <w:spacing w:before="40"/>
        <w:ind w:hanging="360"/>
      </w:pPr>
      <w:r w:rsidRPr="00715637">
        <w:t>o</w:t>
      </w:r>
      <w:r w:rsidRPr="00715637">
        <w:tab/>
        <w:t>Individual employee pay increases (such as merit or promotional increases) with June effective dates to be paid in July or later in the new fiscal year.</w:t>
      </w:r>
    </w:p>
    <w:p w14:paraId="3198773B" w14:textId="77777777" w:rsidR="00CE1C4E" w:rsidRDefault="00CE1C4E" w:rsidP="00CE1C4E">
      <w:pPr>
        <w:rPr>
          <w:rFonts w:eastAsia="Calibri"/>
        </w:rPr>
      </w:pPr>
      <w:r>
        <w:rPr>
          <w:rFonts w:eastAsia="Calibri"/>
        </w:rPr>
        <w:t xml:space="preserve">You may compute the pay rate </w:t>
      </w:r>
      <w:r w:rsidR="0072027B">
        <w:rPr>
          <w:rFonts w:eastAsia="Calibri"/>
        </w:rPr>
        <w:t xml:space="preserve">of salaried employees </w:t>
      </w:r>
      <w:r>
        <w:rPr>
          <w:rFonts w:eastAsia="Calibri"/>
        </w:rPr>
        <w:t xml:space="preserve">in effect </w:t>
      </w:r>
      <w:proofErr w:type="gramStart"/>
      <w:r>
        <w:rPr>
          <w:rFonts w:eastAsia="Calibri"/>
        </w:rPr>
        <w:t>at</w:t>
      </w:r>
      <w:proofErr w:type="gramEnd"/>
      <w:r>
        <w:rPr>
          <w:rFonts w:eastAsia="Calibri"/>
        </w:rPr>
        <w:t xml:space="preserve"> June 30 by dividing the employee’s annual salary on June </w:t>
      </w:r>
      <w:r w:rsidR="0072027B">
        <w:rPr>
          <w:rFonts w:eastAsia="Calibri"/>
        </w:rPr>
        <w:t xml:space="preserve">30 by the total hours </w:t>
      </w:r>
      <w:r>
        <w:rPr>
          <w:rFonts w:eastAsia="Calibri"/>
        </w:rPr>
        <w:t>worked per y</w:t>
      </w:r>
      <w:r w:rsidR="008E3A2E">
        <w:rPr>
          <w:rFonts w:eastAsia="Calibri"/>
        </w:rPr>
        <w:t xml:space="preserve">ear.  The total hours </w:t>
      </w:r>
      <w:r>
        <w:rPr>
          <w:rFonts w:eastAsia="Calibri"/>
        </w:rPr>
        <w:t>worked per year equals the ho</w:t>
      </w:r>
      <w:r w:rsidR="008E3A2E">
        <w:rPr>
          <w:rFonts w:eastAsia="Calibri"/>
        </w:rPr>
        <w:t xml:space="preserve">urs </w:t>
      </w:r>
      <w:r>
        <w:rPr>
          <w:rFonts w:eastAsia="Calibri"/>
        </w:rPr>
        <w:t>worked per week times 52 weeks (e.g., 37.5 hours/week x 52 weeks/year =</w:t>
      </w:r>
      <w:r w:rsidR="0072027B">
        <w:rPr>
          <w:rFonts w:eastAsia="Calibri"/>
        </w:rPr>
        <w:t xml:space="preserve"> 1,950 hours/year</w:t>
      </w:r>
      <w:r>
        <w:rPr>
          <w:rFonts w:eastAsia="Calibri"/>
        </w:rPr>
        <w:t>).</w:t>
      </w:r>
    </w:p>
    <w:p w14:paraId="4122DC17" w14:textId="77777777" w:rsidR="00CE1C4E" w:rsidRDefault="00CE1C4E" w:rsidP="00CE1C4E">
      <w:pPr>
        <w:rPr>
          <w:rFonts w:eastAsia="Calibri"/>
        </w:rPr>
      </w:pPr>
      <w:r>
        <w:rPr>
          <w:rFonts w:eastAsia="Calibri"/>
        </w:rPr>
        <w:t>The</w:t>
      </w:r>
      <w:r w:rsidRPr="00EE15C1">
        <w:rPr>
          <w:rFonts w:eastAsia="Calibri"/>
        </w:rPr>
        <w:t xml:space="preserve"> </w:t>
      </w:r>
      <w:r>
        <w:rPr>
          <w:rFonts w:eastAsia="Calibri"/>
        </w:rPr>
        <w:t xml:space="preserve">pay rate in effect </w:t>
      </w:r>
      <w:proofErr w:type="gramStart"/>
      <w:r>
        <w:rPr>
          <w:rFonts w:eastAsia="Calibri"/>
        </w:rPr>
        <w:t>at</w:t>
      </w:r>
      <w:proofErr w:type="gramEnd"/>
      <w:r>
        <w:rPr>
          <w:rFonts w:eastAsia="Calibri"/>
        </w:rPr>
        <w:t xml:space="preserve"> June </w:t>
      </w:r>
      <w:r w:rsidRPr="00EE15C1">
        <w:rPr>
          <w:rFonts w:eastAsia="Calibri"/>
        </w:rPr>
        <w:t xml:space="preserve">30 </w:t>
      </w:r>
      <w:r>
        <w:rPr>
          <w:rFonts w:eastAsia="Calibri"/>
        </w:rPr>
        <w:t>does not include one-time lump sum bonuses which do not increase the employee's base salary.</w:t>
      </w:r>
    </w:p>
    <w:p w14:paraId="71622709" w14:textId="77777777" w:rsidR="00C17807" w:rsidRPr="009C5B7B" w:rsidRDefault="004965FF" w:rsidP="007001C2">
      <w:pPr>
        <w:pStyle w:val="Heading4"/>
        <w:rPr>
          <w:rFonts w:eastAsia="Calibri"/>
        </w:rPr>
      </w:pPr>
      <w:r w:rsidRPr="004965FF">
        <w:rPr>
          <w:rFonts w:eastAsia="Calibri"/>
        </w:rPr>
        <w:t>Compensated Absence Report</w:t>
      </w:r>
    </w:p>
    <w:p w14:paraId="5D806573" w14:textId="77777777" w:rsidR="0072027B" w:rsidRDefault="004965FF" w:rsidP="00CE1C4E">
      <w:pPr>
        <w:pStyle w:val="Bullet10"/>
        <w:ind w:left="0" w:firstLine="0"/>
      </w:pPr>
      <w:r w:rsidRPr="004965FF">
        <w:t xml:space="preserve">With payroll processed in SCEIS by all agencies, information regarding the leave balances is available centrally.  A Compensated Absence Report will be generated centrally with each agency’s information </w:t>
      </w:r>
      <w:r w:rsidR="0072027B">
        <w:t xml:space="preserve">and </w:t>
      </w:r>
      <w:r w:rsidRPr="004965FF">
        <w:t>distributed for review</w:t>
      </w:r>
      <w:r w:rsidR="0072027B">
        <w:t>.</w:t>
      </w:r>
    </w:p>
    <w:p w14:paraId="21C0DD3F" w14:textId="77777777" w:rsidR="007001C2" w:rsidRPr="009C5B7B" w:rsidRDefault="004965FF" w:rsidP="00CE1C4E">
      <w:pPr>
        <w:pStyle w:val="Bullet10"/>
        <w:ind w:left="0" w:firstLine="0"/>
      </w:pPr>
      <w:r w:rsidRPr="004965FF">
        <w:t>The design of the report provides a separate line for each funding source utilized to pay the employ</w:t>
      </w:r>
      <w:r w:rsidR="004078BD">
        <w:t>ee</w:t>
      </w:r>
      <w:r w:rsidRPr="004965FF">
        <w:t xml:space="preserve">’s salary.  </w:t>
      </w:r>
      <w:proofErr w:type="gramStart"/>
      <w:r w:rsidRPr="004965FF">
        <w:t>Therefore</w:t>
      </w:r>
      <w:proofErr w:type="gramEnd"/>
      <w:r w:rsidRPr="004965FF">
        <w:t xml:space="preserve"> a single position held by an employee may b</w:t>
      </w:r>
      <w:r w:rsidR="008E3A2E">
        <w:t>e reported several times.  The l</w:t>
      </w:r>
      <w:r w:rsidRPr="004965FF">
        <w:t>iability column of the report utilizes the percentage funding to eliminate an</w:t>
      </w:r>
      <w:r w:rsidR="00164671">
        <w:t>y</w:t>
      </w:r>
      <w:r w:rsidRPr="004965FF">
        <w:t xml:space="preserve"> duplication of amount by funding source.  </w:t>
      </w:r>
    </w:p>
    <w:p w14:paraId="7EF48603" w14:textId="77777777" w:rsidR="007001C2" w:rsidRPr="009C5B7B" w:rsidRDefault="004965FF" w:rsidP="007001C2">
      <w:pPr>
        <w:pStyle w:val="Bullet10"/>
        <w:ind w:left="540" w:right="684" w:firstLine="0"/>
      </w:pPr>
      <w:r w:rsidRPr="004965FF">
        <w:lastRenderedPageBreak/>
        <w:t>For example:  Jane Smith</w:t>
      </w:r>
      <w:r w:rsidR="0072027B">
        <w:t xml:space="preserve">’s position </w:t>
      </w:r>
      <w:r w:rsidRPr="004965FF">
        <w:t xml:space="preserve">is </w:t>
      </w:r>
      <w:r w:rsidR="0072027B">
        <w:t>paid out of f</w:t>
      </w:r>
      <w:r w:rsidRPr="004965FF">
        <w:t>und</w:t>
      </w:r>
      <w:r w:rsidR="0072027B">
        <w:t>s</w:t>
      </w:r>
      <w:r w:rsidRPr="004965FF">
        <w:t xml:space="preserve"> 10010000 50%, 30350000 25%, and 50550000 25%.  Jane Smith has a balance in hours of 40 with a wage rate of $25.00 resulting in an amount reported of $1,000.  Jane Smith will appear in the report 3 </w:t>
      </w:r>
      <w:r w:rsidR="0072027B">
        <w:t>separate times.  The l</w:t>
      </w:r>
      <w:r w:rsidRPr="004965FF">
        <w:t xml:space="preserve">iability column will report $500 in 10010000, $250 in 30350000, and $250 in 50550000 </w:t>
      </w:r>
      <w:r w:rsidR="008E3A2E">
        <w:t>which total</w:t>
      </w:r>
      <w:r w:rsidRPr="004965FF">
        <w:t xml:space="preserve"> $1,000 to properly report the liability amount.  </w:t>
      </w:r>
    </w:p>
    <w:p w14:paraId="05C60FEA" w14:textId="5EAD90B9" w:rsidR="00CE1C4E" w:rsidRPr="00EE15C1" w:rsidRDefault="004965FF" w:rsidP="00CE1C4E">
      <w:pPr>
        <w:pStyle w:val="Bullet10"/>
        <w:ind w:left="0" w:firstLine="0"/>
        <w:rPr>
          <w:rFonts w:eastAsia="Calibri"/>
          <w:szCs w:val="24"/>
        </w:rPr>
      </w:pPr>
      <w:r w:rsidRPr="004965FF">
        <w:t xml:space="preserve">Discrepancies in the liability amount resulting from funding sources, percentages, wage rates, or balance of hours should be reported </w:t>
      </w:r>
      <w:r w:rsidR="002729B3">
        <w:t>to SCEIS by entering a helpdesk ticket.</w:t>
      </w:r>
      <w:r w:rsidRPr="004965FF">
        <w:rPr>
          <w:rFonts w:eastAsia="Calibri"/>
        </w:rPr>
        <w:t xml:space="preserve">  </w:t>
      </w:r>
      <w:r w:rsidRPr="004965FF">
        <w:t xml:space="preserve">The Comptroller General's Office will use the information from the report to </w:t>
      </w:r>
      <w:r w:rsidR="002729B3">
        <w:t>record</w:t>
      </w:r>
      <w:r w:rsidRPr="004965FF">
        <w:t xml:space="preserve"> the compensated absence liabilities in the appropriate fund for the </w:t>
      </w:r>
      <w:r w:rsidR="00012CA8">
        <w:t>State’s A</w:t>
      </w:r>
      <w:r w:rsidR="005E0E8A">
        <w:t>C</w:t>
      </w:r>
      <w:r w:rsidR="00012CA8">
        <w:t>FR</w:t>
      </w:r>
      <w:r w:rsidRPr="004965FF">
        <w:t xml:space="preserve">.  A computation of the current liability portion will also be performed </w:t>
      </w:r>
      <w:r w:rsidR="008E3A2E">
        <w:t xml:space="preserve">by the Comptroller General’s Office </w:t>
      </w:r>
      <w:r w:rsidRPr="004965FF">
        <w:t xml:space="preserve">for appropriate classification reporting.  </w:t>
      </w:r>
      <w:r w:rsidR="008E3A2E">
        <w:rPr>
          <w:rFonts w:eastAsia="Calibri"/>
          <w:szCs w:val="24"/>
        </w:rPr>
        <w:t>Additionally, t</w:t>
      </w:r>
      <w:r w:rsidRPr="004965FF">
        <w:rPr>
          <w:rFonts w:eastAsia="Calibri"/>
          <w:szCs w:val="24"/>
        </w:rPr>
        <w:t>he Comptroller General's Office will compute and record an additional amount for fringe benefits associated with those wages.</w:t>
      </w:r>
      <w:r w:rsidR="00CE1C4E" w:rsidRPr="00EE15C1">
        <w:rPr>
          <w:rFonts w:eastAsia="Calibri"/>
          <w:szCs w:val="24"/>
        </w:rPr>
        <w:t xml:space="preserve">  </w:t>
      </w:r>
    </w:p>
    <w:p w14:paraId="0320F900" w14:textId="77777777" w:rsidR="0072027B" w:rsidRPr="00EE15C1" w:rsidRDefault="0072027B" w:rsidP="0072027B">
      <w:pPr>
        <w:pStyle w:val="Heading4"/>
        <w:rPr>
          <w:rFonts w:eastAsia="Calibri"/>
        </w:rPr>
      </w:pPr>
      <w:r>
        <w:rPr>
          <w:rFonts w:eastAsia="Calibri"/>
        </w:rPr>
        <w:t>Limits to Annual Leave</w:t>
      </w:r>
      <w:r w:rsidRPr="00EE15C1">
        <w:rPr>
          <w:rFonts w:eastAsia="Calibri"/>
        </w:rPr>
        <w:t xml:space="preserve">  </w:t>
      </w:r>
    </w:p>
    <w:p w14:paraId="22FD34EA" w14:textId="77777777" w:rsidR="0072027B" w:rsidRDefault="0072027B" w:rsidP="0072027B">
      <w:pPr>
        <w:spacing w:before="40"/>
        <w:rPr>
          <w:rFonts w:eastAsia="Calibri"/>
        </w:rPr>
      </w:pPr>
      <w:r>
        <w:rPr>
          <w:rFonts w:eastAsia="Calibri"/>
        </w:rPr>
        <w:t xml:space="preserve">Upon termination, employees are paid up to 45 days of unused annual leave.  According to the State’s annual leave policy, “No more than 45 days may be carried over from one calendar year to the next”.  However, any annual leave </w:t>
      </w:r>
      <w:proofErr w:type="gramStart"/>
      <w:r>
        <w:rPr>
          <w:rFonts w:eastAsia="Calibri"/>
        </w:rPr>
        <w:t>in excess of</w:t>
      </w:r>
      <w:proofErr w:type="gramEnd"/>
      <w:r>
        <w:rPr>
          <w:rFonts w:eastAsia="Calibri"/>
        </w:rPr>
        <w:t xml:space="preserve"> 45 days will remain in the employee’s leave balance </w:t>
      </w:r>
      <w:r w:rsidR="008E3A2E">
        <w:rPr>
          <w:rFonts w:eastAsia="Calibri"/>
        </w:rPr>
        <w:t xml:space="preserve">as of June 30 </w:t>
      </w:r>
      <w:r>
        <w:rPr>
          <w:rFonts w:eastAsia="Calibri"/>
        </w:rPr>
        <w:t>within the Compensated Absence Report, as an employee has until the end of the calendar year to use his/her annual leave over the 45-day limit.</w:t>
      </w:r>
    </w:p>
    <w:p w14:paraId="66E3CC86" w14:textId="2C0DC519" w:rsidR="00CE1C4E" w:rsidRDefault="00CE1C4E" w:rsidP="00CE1C4E">
      <w:pPr>
        <w:spacing w:before="40"/>
        <w:rPr>
          <w:rFonts w:eastAsia="Calibri"/>
        </w:rPr>
      </w:pPr>
      <w:r>
        <w:rPr>
          <w:rFonts w:eastAsia="Calibri"/>
        </w:rPr>
        <w:t>Section 8-11-620 of the South Carolina Code of Laws and Section 19</w:t>
      </w:r>
      <w:r>
        <w:rPr>
          <w:rFonts w:eastAsia="Calibri"/>
        </w:rPr>
        <w:noBreakHyphen/>
        <w:t xml:space="preserve">709.05 of the State Human Resources Regulations limit the amount of leave and lump-sum payment permitted upon termination of employment.  </w:t>
      </w:r>
      <w:r>
        <w:rPr>
          <w:rFonts w:eastAsia="Calibri"/>
          <w:b/>
        </w:rPr>
        <w:t>The liabilit</w:t>
      </w:r>
      <w:r w:rsidR="00743B15">
        <w:rPr>
          <w:rFonts w:eastAsia="Calibri"/>
          <w:b/>
        </w:rPr>
        <w:t>y computations described in the</w:t>
      </w:r>
      <w:r>
        <w:rPr>
          <w:rFonts w:eastAsia="Calibri"/>
          <w:b/>
        </w:rPr>
        <w:t xml:space="preserve"> </w:t>
      </w:r>
      <w:r w:rsidR="00743B15">
        <w:rPr>
          <w:rFonts w:eastAsia="Calibri"/>
          <w:b/>
        </w:rPr>
        <w:t xml:space="preserve">reporting manual </w:t>
      </w:r>
      <w:r>
        <w:rPr>
          <w:rFonts w:eastAsia="Calibri"/>
          <w:b/>
        </w:rPr>
        <w:t>do not modify this (or any other) requirement of State law.</w:t>
      </w:r>
      <w:r>
        <w:rPr>
          <w:rFonts w:eastAsia="Calibri"/>
        </w:rPr>
        <w:t xml:space="preserve">  Conversely, the State's compensated absence liability under GASB Statement</w:t>
      </w:r>
      <w:r w:rsidR="00AF7FDC">
        <w:rPr>
          <w:rFonts w:eastAsia="Calibri"/>
        </w:rPr>
        <w:t>s</w:t>
      </w:r>
      <w:r>
        <w:rPr>
          <w:rFonts w:eastAsia="Calibri"/>
        </w:rPr>
        <w:t xml:space="preserve"> 16</w:t>
      </w:r>
      <w:r w:rsidR="00AF7FDC">
        <w:rPr>
          <w:rFonts w:eastAsia="Calibri"/>
        </w:rPr>
        <w:t xml:space="preserve"> and 101</w:t>
      </w:r>
      <w:r>
        <w:rPr>
          <w:rFonts w:eastAsia="Calibri"/>
        </w:rPr>
        <w:t xml:space="preserve"> is unaffected by the existence of this or any other legal limitation.</w:t>
      </w:r>
    </w:p>
    <w:p w14:paraId="4C2A2784" w14:textId="77777777" w:rsidR="00914D43" w:rsidRDefault="004965FF">
      <w:pPr>
        <w:pStyle w:val="Heading3"/>
      </w:pPr>
      <w:bookmarkStart w:id="351" w:name="_Toc166149291"/>
      <w:r w:rsidRPr="004965FF">
        <w:t>Other Payroll Related Issues</w:t>
      </w:r>
      <w:bookmarkEnd w:id="351"/>
    </w:p>
    <w:p w14:paraId="083ACFF1" w14:textId="38FE0D6E" w:rsidR="00AF1157" w:rsidRPr="008E3A2E" w:rsidRDefault="00AF1157" w:rsidP="00CE1C4E">
      <w:pPr>
        <w:spacing w:before="40"/>
        <w:rPr>
          <w:rFonts w:eastAsia="Calibri"/>
        </w:rPr>
      </w:pPr>
      <w:r w:rsidRPr="008E3A2E">
        <w:rPr>
          <w:rFonts w:eastAsia="Calibri"/>
        </w:rPr>
        <w:t>From time to time an agency may utilize the employee of</w:t>
      </w:r>
      <w:r w:rsidR="008E3A2E">
        <w:rPr>
          <w:rFonts w:eastAsia="Calibri"/>
        </w:rPr>
        <w:t xml:space="preserve"> another entity (for example a c</w:t>
      </w:r>
      <w:r w:rsidRPr="008E3A2E">
        <w:rPr>
          <w:rFonts w:eastAsia="Calibri"/>
        </w:rPr>
        <w:t>ounty or local municipality) for services provided by the agency.  If this individual is paid directly and payment is not provided to the individual’s employer or if other compensation is provided (through payments to benefit providers) but not to the employer, this constitutes payments on behalf of and is required to be disclosed.  Likewise</w:t>
      </w:r>
      <w:r w:rsidR="008E3A2E">
        <w:rPr>
          <w:rFonts w:eastAsia="Calibri"/>
        </w:rPr>
        <w:t>, if an agency’s employees are lent</w:t>
      </w:r>
      <w:r w:rsidRPr="008E3A2E">
        <w:rPr>
          <w:rFonts w:eastAsia="Calibri"/>
        </w:rPr>
        <w:t xml:space="preserve"> to another entity for which compensation is paid directly to the employee or a benefits provider, the transaction needs to be disclosed.  The questions related to these situations </w:t>
      </w:r>
      <w:r w:rsidR="00AF7FDC">
        <w:rPr>
          <w:rFonts w:eastAsia="Calibri"/>
        </w:rPr>
        <w:t>are on</w:t>
      </w:r>
      <w:r w:rsidR="002729B3">
        <w:rPr>
          <w:rFonts w:eastAsia="Calibri"/>
        </w:rPr>
        <w:t xml:space="preserve"> the Subsequent Events </w:t>
      </w:r>
      <w:r w:rsidR="00AF7FDC">
        <w:rPr>
          <w:rFonts w:eastAsia="Calibri"/>
        </w:rPr>
        <w:t>R</w:t>
      </w:r>
      <w:r w:rsidR="002729B3">
        <w:rPr>
          <w:rFonts w:eastAsia="Calibri"/>
        </w:rPr>
        <w:t xml:space="preserve">eporting </w:t>
      </w:r>
      <w:r w:rsidR="00AF7FDC">
        <w:rPr>
          <w:rFonts w:eastAsia="Calibri"/>
        </w:rPr>
        <w:t>P</w:t>
      </w:r>
      <w:r w:rsidR="002729B3">
        <w:rPr>
          <w:rFonts w:eastAsia="Calibri"/>
        </w:rPr>
        <w:t>ack</w:t>
      </w:r>
      <w:r w:rsidR="00F678F7">
        <w:rPr>
          <w:rFonts w:eastAsia="Calibri"/>
        </w:rPr>
        <w:t>age</w:t>
      </w:r>
      <w:r w:rsidR="002729B3">
        <w:rPr>
          <w:rFonts w:eastAsia="Calibri"/>
        </w:rPr>
        <w:t>.</w:t>
      </w:r>
    </w:p>
    <w:p w14:paraId="534813FC" w14:textId="77777777" w:rsidR="0012040B" w:rsidRDefault="00CE1C4E" w:rsidP="003B02BA">
      <w:pPr>
        <w:pStyle w:val="Heading2"/>
      </w:pPr>
      <w:bookmarkStart w:id="352" w:name="_Toc296021477"/>
      <w:bookmarkStart w:id="353" w:name="_Toc296021566"/>
      <w:bookmarkStart w:id="354" w:name="_Toc296235458"/>
      <w:bookmarkStart w:id="355" w:name="_Toc296235559"/>
      <w:bookmarkStart w:id="356" w:name="_Toc296247846"/>
      <w:bookmarkStart w:id="357" w:name="_Toc166149292"/>
      <w:r w:rsidRPr="007D55DC">
        <w:t>Section _.1</w:t>
      </w:r>
      <w:r>
        <w:t>8</w:t>
      </w:r>
      <w:r w:rsidRPr="007D55DC">
        <w:t xml:space="preserve"> </w:t>
      </w:r>
      <w:r>
        <w:t>Interfund Payables</w:t>
      </w:r>
      <w:bookmarkEnd w:id="352"/>
      <w:bookmarkEnd w:id="353"/>
      <w:bookmarkEnd w:id="354"/>
      <w:bookmarkEnd w:id="355"/>
      <w:bookmarkEnd w:id="356"/>
      <w:r w:rsidR="00F731D4">
        <w:t xml:space="preserve"> &amp; Receivables</w:t>
      </w:r>
      <w:bookmarkEnd w:id="357"/>
    </w:p>
    <w:p w14:paraId="0F3396AC" w14:textId="77777777" w:rsidR="006A1C37" w:rsidRDefault="006A1C37" w:rsidP="00743B15">
      <w:pPr>
        <w:keepLines/>
      </w:pPr>
      <w:r>
        <w:t>GAAP and State budgetary accounting practices require the State record revenues, expenditures, and interfund receivables with the offsetting payables</w:t>
      </w:r>
      <w:r w:rsidR="00654763">
        <w:t xml:space="preserve"> in the fiscal year in which an</w:t>
      </w:r>
      <w:r>
        <w:t xml:space="preserve"> agency received goods or services from, or owes a refund of revenue to, another State agency or another accounting fund within the same agency.  Information is gathered from SCEIS for analysis and compared with </w:t>
      </w:r>
      <w:r w:rsidR="00654763">
        <w:t xml:space="preserve">the agency reporting package submission </w:t>
      </w:r>
      <w:r>
        <w:t>to determine if the amounts reported in SCEIS are complete and in balance (all interfund receivables have a corresponding payable at anot</w:t>
      </w:r>
      <w:r w:rsidR="00654763">
        <w:t>her agency or in another fund within</w:t>
      </w:r>
      <w:r>
        <w:t xml:space="preserve"> the same agency</w:t>
      </w:r>
      <w:r w:rsidR="00F731D4">
        <w:t>)</w:t>
      </w:r>
      <w:r>
        <w:t xml:space="preserve">.  Incomplete or erroneous information can lead to misstatement in the financial statements.  </w:t>
      </w:r>
    </w:p>
    <w:p w14:paraId="4927FC15" w14:textId="77777777" w:rsidR="006A1C37" w:rsidRDefault="006A1C37" w:rsidP="006A1C37">
      <w:r>
        <w:lastRenderedPageBreak/>
        <w:t>Unless i</w:t>
      </w:r>
      <w:r w:rsidR="00654763">
        <w:t>ndicated by management’s intent</w:t>
      </w:r>
      <w:r>
        <w:t xml:space="preserve"> communicated to the Comptroller General's Office, the State will report Interfund Payables and Interfund Receivables as current liabilities and current assets, respectively, in the appropriate accounting funds.  Please notify the Comptroller General's Office if any non-current liabilities are identified in the preparation analysis.</w:t>
      </w:r>
    </w:p>
    <w:p w14:paraId="1DFE82EE" w14:textId="77777777" w:rsidR="00914D43" w:rsidRDefault="006A1C37">
      <w:pPr>
        <w:keepNext/>
        <w:spacing w:after="40"/>
      </w:pPr>
      <w:r>
        <w:t xml:space="preserve">An Interfund Payable </w:t>
      </w:r>
      <w:r w:rsidR="00F731D4">
        <w:t xml:space="preserve">or Receivable individually over $100,000 </w:t>
      </w:r>
      <w:r w:rsidR="00F04981">
        <w:t xml:space="preserve">should be reported </w:t>
      </w:r>
      <w:proofErr w:type="gramStart"/>
      <w:r>
        <w:t>at</w:t>
      </w:r>
      <w:proofErr w:type="gramEnd"/>
      <w:r>
        <w:t xml:space="preserve"> June 30 only if it meets </w:t>
      </w:r>
      <w:r>
        <w:rPr>
          <w:u w:val="single"/>
        </w:rPr>
        <w:t>both</w:t>
      </w:r>
      <w:r>
        <w:t xml:space="preserve"> of the following criteria:</w:t>
      </w:r>
    </w:p>
    <w:p w14:paraId="47F19B02" w14:textId="77777777" w:rsidR="006A1C37" w:rsidRDefault="006A1C37" w:rsidP="00F04981">
      <w:pPr>
        <w:pStyle w:val="Bullet10"/>
        <w:keepNext/>
        <w:spacing w:before="40" w:after="40"/>
      </w:pPr>
      <w:r>
        <w:t>o</w:t>
      </w:r>
      <w:r>
        <w:tab/>
      </w:r>
      <w:proofErr w:type="gramStart"/>
      <w:r>
        <w:t>At</w:t>
      </w:r>
      <w:proofErr w:type="gramEnd"/>
      <w:r>
        <w:t xml:space="preserve"> June</w:t>
      </w:r>
      <w:r w:rsidR="00F04981">
        <w:t xml:space="preserve"> </w:t>
      </w:r>
      <w:r>
        <w:t xml:space="preserve">30, one of </w:t>
      </w:r>
      <w:r w:rsidR="00F04981">
        <w:t>the</w:t>
      </w:r>
      <w:r>
        <w:t xml:space="preserve"> agency’s funds owed</w:t>
      </w:r>
      <w:r w:rsidR="00F731D4">
        <w:t>/is owed</w:t>
      </w:r>
      <w:r>
        <w:t xml:space="preserve"> </w:t>
      </w:r>
      <w:r w:rsidR="00F04981">
        <w:t>an</w:t>
      </w:r>
      <w:r>
        <w:t xml:space="preserve"> amount to</w:t>
      </w:r>
      <w:r w:rsidR="00F731D4">
        <w:t>/from</w:t>
      </w:r>
      <w:r>
        <w:t xml:space="preserve"> either:</w:t>
      </w:r>
    </w:p>
    <w:p w14:paraId="1AD47E8F" w14:textId="77777777" w:rsidR="00914D43" w:rsidRDefault="006A1C37">
      <w:pPr>
        <w:pStyle w:val="Bullet2"/>
        <w:keepNext/>
        <w:spacing w:before="40" w:after="40"/>
      </w:pPr>
      <w:r>
        <w:t>--</w:t>
      </w:r>
      <w:r>
        <w:tab/>
        <w:t>A different agency within the State’s financial reporting entity.</w:t>
      </w:r>
    </w:p>
    <w:p w14:paraId="6507FDD4" w14:textId="77777777" w:rsidR="006A1C37" w:rsidRDefault="006A1C37" w:rsidP="00F04981">
      <w:pPr>
        <w:pStyle w:val="Bullet2"/>
        <w:spacing w:before="40" w:after="40"/>
      </w:pPr>
      <w:r>
        <w:t>--</w:t>
      </w:r>
      <w:r>
        <w:tab/>
        <w:t xml:space="preserve">A different fund within </w:t>
      </w:r>
      <w:r w:rsidR="00F04981">
        <w:t>the same</w:t>
      </w:r>
      <w:r>
        <w:t xml:space="preserve"> agency.</w:t>
      </w:r>
    </w:p>
    <w:p w14:paraId="7EA18B99" w14:textId="77777777" w:rsidR="006A1C37" w:rsidRDefault="006A1C37" w:rsidP="00F04981">
      <w:pPr>
        <w:pStyle w:val="Bullet10"/>
        <w:keepNext/>
        <w:spacing w:before="40" w:after="40"/>
      </w:pPr>
      <w:r>
        <w:t>o</w:t>
      </w:r>
      <w:r>
        <w:tab/>
      </w:r>
      <w:proofErr w:type="gramStart"/>
      <w:r w:rsidR="00F04981">
        <w:t>The</w:t>
      </w:r>
      <w:proofErr w:type="gramEnd"/>
      <w:r>
        <w:t xml:space="preserve"> agency </w:t>
      </w:r>
      <w:r>
        <w:rPr>
          <w:u w:val="single"/>
        </w:rPr>
        <w:t>paid</w:t>
      </w:r>
      <w:r w:rsidR="00F731D4">
        <w:rPr>
          <w:u w:val="single"/>
        </w:rPr>
        <w:t>/received</w:t>
      </w:r>
      <w:r>
        <w:t xml:space="preserve"> </w:t>
      </w:r>
      <w:r w:rsidR="001F086D">
        <w:t xml:space="preserve">(or will be paid/received) </w:t>
      </w:r>
      <w:r>
        <w:t>th</w:t>
      </w:r>
      <w:r w:rsidR="00F04981">
        <w:t>e</w:t>
      </w:r>
      <w:r>
        <w:t xml:space="preserve"> amount </w:t>
      </w:r>
      <w:r>
        <w:rPr>
          <w:u w:val="single"/>
        </w:rPr>
        <w:t>in the new fiscal year</w:t>
      </w:r>
      <w:r>
        <w:t xml:space="preserve"> using either:</w:t>
      </w:r>
    </w:p>
    <w:p w14:paraId="167567C4" w14:textId="77777777" w:rsidR="006A1C37" w:rsidRDefault="006A1C37" w:rsidP="00F04981">
      <w:pPr>
        <w:pStyle w:val="Bullet2"/>
        <w:spacing w:before="40" w:after="40"/>
      </w:pPr>
      <w:r>
        <w:t>--</w:t>
      </w:r>
      <w:r>
        <w:tab/>
        <w:t>An Interdepartmental Transfer (IDT).</w:t>
      </w:r>
    </w:p>
    <w:p w14:paraId="311A955C" w14:textId="77777777" w:rsidR="006A1C37" w:rsidRDefault="006A1C37" w:rsidP="00F04981">
      <w:pPr>
        <w:pStyle w:val="Bullet2"/>
        <w:spacing w:before="40"/>
      </w:pPr>
      <w:r>
        <w:t>--</w:t>
      </w:r>
      <w:r>
        <w:tab/>
        <w:t>A Disbursement Voucher.</w:t>
      </w:r>
    </w:p>
    <w:p w14:paraId="63E0A504" w14:textId="77777777" w:rsidR="00914D43" w:rsidRDefault="006A1C37">
      <w:pPr>
        <w:keepNext/>
        <w:spacing w:after="40"/>
      </w:pPr>
      <w:r>
        <w:t xml:space="preserve">The </w:t>
      </w:r>
      <w:r w:rsidR="00F04981">
        <w:t xml:space="preserve">liability for </w:t>
      </w:r>
      <w:r>
        <w:t>Interfund Payables</w:t>
      </w:r>
      <w:r w:rsidR="00F04981">
        <w:t xml:space="preserve"> </w:t>
      </w:r>
      <w:r w:rsidR="00F731D4">
        <w:t xml:space="preserve">or </w:t>
      </w:r>
      <w:r w:rsidR="00654763">
        <w:t xml:space="preserve">the </w:t>
      </w:r>
      <w:r w:rsidR="00F731D4">
        <w:t xml:space="preserve">asset for Interfund Receivables </w:t>
      </w:r>
      <w:r w:rsidR="00F04981">
        <w:t>can arise from</w:t>
      </w:r>
      <w:r>
        <w:t>:</w:t>
      </w:r>
    </w:p>
    <w:p w14:paraId="3C2765F1" w14:textId="77777777" w:rsidR="006A1C37" w:rsidRDefault="006A1C37" w:rsidP="005C2F33">
      <w:pPr>
        <w:pStyle w:val="Bullet10"/>
        <w:keepNext/>
        <w:numPr>
          <w:ilvl w:val="0"/>
          <w:numId w:val="32"/>
        </w:numPr>
        <w:spacing w:before="40" w:after="40"/>
      </w:pPr>
      <w:r>
        <w:t>A payment</w:t>
      </w:r>
      <w:r w:rsidR="009666D0">
        <w:t>/receipt</w:t>
      </w:r>
      <w:r>
        <w:t xml:space="preserve"> in the new fiscal year to</w:t>
      </w:r>
      <w:r w:rsidR="009666D0">
        <w:t>/from</w:t>
      </w:r>
      <w:r>
        <w:t xml:space="preserve"> a different agency within the State’s financial reporting entity or to a different fund within </w:t>
      </w:r>
      <w:r w:rsidR="00F04981">
        <w:t>the same</w:t>
      </w:r>
      <w:r>
        <w:t xml:space="preserve"> agency for goods or services rece</w:t>
      </w:r>
      <w:r w:rsidR="00F04981">
        <w:t>ived</w:t>
      </w:r>
      <w:r w:rsidR="009666D0">
        <w:t>/rendered</w:t>
      </w:r>
      <w:r w:rsidR="00F04981">
        <w:t xml:space="preserve"> on or before </w:t>
      </w:r>
      <w:r>
        <w:t>June</w:t>
      </w:r>
      <w:r w:rsidR="00F04981">
        <w:t xml:space="preserve"> </w:t>
      </w:r>
      <w:r>
        <w:t>30.</w:t>
      </w:r>
    </w:p>
    <w:p w14:paraId="4E7EA012" w14:textId="77777777" w:rsidR="006A1C37" w:rsidRDefault="006A1C37" w:rsidP="005C2F33">
      <w:pPr>
        <w:pStyle w:val="Bullet10"/>
        <w:keepNext/>
        <w:numPr>
          <w:ilvl w:val="0"/>
          <w:numId w:val="32"/>
        </w:numPr>
        <w:spacing w:before="40"/>
      </w:pPr>
      <w:r>
        <w:t>A refund of revenue paid</w:t>
      </w:r>
      <w:r w:rsidR="009666D0">
        <w:t>/received</w:t>
      </w:r>
      <w:r>
        <w:t xml:space="preserve"> in the new fiscal year to</w:t>
      </w:r>
      <w:r w:rsidR="00654763">
        <w:t>/from</w:t>
      </w:r>
      <w:r>
        <w:t xml:space="preserve"> a different agency within the State’s financial reporting entity or to</w:t>
      </w:r>
      <w:r w:rsidR="009666D0">
        <w:t>/from</w:t>
      </w:r>
      <w:r>
        <w:t xml:space="preserve"> a different fund within </w:t>
      </w:r>
      <w:r w:rsidR="00F04981">
        <w:t>the same</w:t>
      </w:r>
      <w:r>
        <w:t xml:space="preserve"> agency th</w:t>
      </w:r>
      <w:r w:rsidR="009666D0">
        <w:t xml:space="preserve">at was payable/receivable on or before </w:t>
      </w:r>
      <w:r>
        <w:t>June</w:t>
      </w:r>
      <w:r w:rsidR="00F04981">
        <w:t xml:space="preserve"> </w:t>
      </w:r>
      <w:r>
        <w:t xml:space="preserve">30.  </w:t>
      </w:r>
    </w:p>
    <w:p w14:paraId="6ACFC45A" w14:textId="77777777" w:rsidR="003F0F51" w:rsidRDefault="003F0F51" w:rsidP="00B53E30">
      <w:pPr>
        <w:keepNext/>
        <w:spacing w:after="40"/>
      </w:pPr>
      <w:r>
        <w:t>Exclusions from this reporting package:</w:t>
      </w:r>
      <w:r>
        <w:tab/>
      </w:r>
    </w:p>
    <w:p w14:paraId="3FACAD87" w14:textId="77777777" w:rsidR="003F0F51" w:rsidRDefault="006A1C37" w:rsidP="00B53E30">
      <w:pPr>
        <w:spacing w:before="60" w:after="60"/>
      </w:pPr>
      <w:r>
        <w:t xml:space="preserve">For this </w:t>
      </w:r>
      <w:r w:rsidR="00F04981">
        <w:t>reporting</w:t>
      </w:r>
      <w:r>
        <w:t xml:space="preserve"> package, </w:t>
      </w:r>
      <w:r w:rsidR="003F0F51">
        <w:t>the following transactions should be excluded:</w:t>
      </w:r>
    </w:p>
    <w:p w14:paraId="5E89DF32" w14:textId="77777777" w:rsidR="003F0F51" w:rsidRDefault="003F0F51" w:rsidP="005C2F33">
      <w:pPr>
        <w:pStyle w:val="ListParagraph"/>
        <w:numPr>
          <w:ilvl w:val="0"/>
          <w:numId w:val="45"/>
        </w:numPr>
        <w:spacing w:before="60"/>
      </w:pPr>
      <w:r>
        <w:t>Incurred and allowable costs under Pass-through Grant Awards from other State Agencies.</w:t>
      </w:r>
    </w:p>
    <w:p w14:paraId="6A44621E" w14:textId="77777777" w:rsidR="003F0F51" w:rsidRDefault="006A1C37" w:rsidP="005C2F33">
      <w:pPr>
        <w:pStyle w:val="ListParagraph"/>
        <w:numPr>
          <w:ilvl w:val="0"/>
          <w:numId w:val="45"/>
        </w:numPr>
        <w:spacing w:before="60"/>
      </w:pPr>
      <w:r>
        <w:t xml:space="preserve">Medicaid reimbursements the Department of Health and Human Services owes to other State agencies.  </w:t>
      </w:r>
    </w:p>
    <w:p w14:paraId="13900946" w14:textId="08F6E561" w:rsidR="00CE1C4E" w:rsidRPr="004806FF" w:rsidRDefault="003F0F51" w:rsidP="00CE1C4E">
      <w:pPr>
        <w:pStyle w:val="ListParagraph"/>
        <w:numPr>
          <w:ilvl w:val="0"/>
          <w:numId w:val="45"/>
        </w:numPr>
        <w:spacing w:before="60"/>
      </w:pPr>
      <w:r>
        <w:t>L</w:t>
      </w:r>
      <w:r w:rsidR="006A1C37">
        <w:t>oan payments to</w:t>
      </w:r>
      <w:r w:rsidR="00654763">
        <w:t>/from</w:t>
      </w:r>
      <w:r w:rsidR="006A1C37">
        <w:t xml:space="preserve"> another State agency or between funds within the same agency.</w:t>
      </w:r>
    </w:p>
    <w:p w14:paraId="17C08DE3" w14:textId="77777777" w:rsidR="0012040B" w:rsidRDefault="00B95A1D" w:rsidP="003B02BA">
      <w:pPr>
        <w:pStyle w:val="Heading2"/>
      </w:pPr>
      <w:bookmarkStart w:id="358" w:name="_Toc166149293"/>
      <w:r>
        <w:t>Section _.19 Reserved for Future Use.</w:t>
      </w:r>
      <w:bookmarkEnd w:id="358"/>
    </w:p>
    <w:p w14:paraId="510FED91" w14:textId="76994BF5" w:rsidR="0012040B" w:rsidRDefault="009B0657" w:rsidP="003B02BA">
      <w:pPr>
        <w:pStyle w:val="Heading2"/>
      </w:pPr>
      <w:bookmarkStart w:id="359" w:name="_Toc296021479"/>
      <w:bookmarkStart w:id="360" w:name="_Toc296021568"/>
      <w:bookmarkStart w:id="361" w:name="_Toc296235462"/>
      <w:bookmarkStart w:id="362" w:name="_Toc296235563"/>
      <w:bookmarkStart w:id="363" w:name="_Toc296247851"/>
      <w:bookmarkStart w:id="364" w:name="_Toc166149294"/>
      <w:r w:rsidRPr="007C7925">
        <w:t xml:space="preserve">Section _.20 </w:t>
      </w:r>
      <w:r w:rsidR="00AF7FDC">
        <w:t xml:space="preserve">Governmental </w:t>
      </w:r>
      <w:r w:rsidRPr="007C7925">
        <w:t xml:space="preserve">Fund Balance </w:t>
      </w:r>
      <w:bookmarkEnd w:id="359"/>
      <w:bookmarkEnd w:id="360"/>
      <w:bookmarkEnd w:id="361"/>
      <w:bookmarkEnd w:id="362"/>
      <w:bookmarkEnd w:id="363"/>
      <w:bookmarkEnd w:id="364"/>
      <w:r w:rsidR="00AF7FDC">
        <w:t>Classification</w:t>
      </w:r>
    </w:p>
    <w:p w14:paraId="6B19C50A" w14:textId="4E94C7B6" w:rsidR="007C7925" w:rsidRPr="007C7925" w:rsidRDefault="007C7925" w:rsidP="007C7925">
      <w:pPr>
        <w:spacing w:after="40" w:line="240" w:lineRule="exact"/>
      </w:pPr>
      <w:r w:rsidRPr="007C7925">
        <w:t xml:space="preserve">GAAP relating to </w:t>
      </w:r>
      <w:r w:rsidR="00AF7FDC">
        <w:t xml:space="preserve">governmental </w:t>
      </w:r>
      <w:r w:rsidRPr="007C7925">
        <w:t xml:space="preserve">fund balance </w:t>
      </w:r>
      <w:r w:rsidR="00AF7FDC">
        <w:t>classification</w:t>
      </w:r>
      <w:r w:rsidRPr="007C7925">
        <w:t xml:space="preserve"> reporting are established in the following Governmental Accounting Standards Board (GASB) Statements:</w:t>
      </w:r>
    </w:p>
    <w:p w14:paraId="56A90A04" w14:textId="77777777" w:rsidR="007C7925" w:rsidRPr="007C7925" w:rsidRDefault="007C7925" w:rsidP="005C2F33">
      <w:pPr>
        <w:pStyle w:val="Bullet10"/>
        <w:numPr>
          <w:ilvl w:val="0"/>
          <w:numId w:val="16"/>
        </w:numPr>
        <w:spacing w:before="40" w:after="40" w:line="240" w:lineRule="exact"/>
      </w:pPr>
      <w:r w:rsidRPr="007C7925">
        <w:t xml:space="preserve">Number 34, </w:t>
      </w:r>
      <w:r w:rsidRPr="007C7925">
        <w:rPr>
          <w:i/>
        </w:rPr>
        <w:t>Basic Financial Statements – and Management’s Discussion and Analysis for State and Local Governments</w:t>
      </w:r>
    </w:p>
    <w:p w14:paraId="2DF21F2F" w14:textId="77777777" w:rsidR="007C7925" w:rsidRPr="007C7925" w:rsidRDefault="007C7925" w:rsidP="005C2F33">
      <w:pPr>
        <w:pStyle w:val="Bullet10"/>
        <w:numPr>
          <w:ilvl w:val="0"/>
          <w:numId w:val="16"/>
        </w:numPr>
        <w:spacing w:before="40" w:after="40" w:line="240" w:lineRule="exact"/>
      </w:pPr>
      <w:r w:rsidRPr="007C7925">
        <w:t xml:space="preserve">Number 54, </w:t>
      </w:r>
      <w:r w:rsidRPr="007C7925">
        <w:rPr>
          <w:i/>
        </w:rPr>
        <w:t>Fund Balance Reporting and Governmental Fund Type Definitions</w:t>
      </w:r>
      <w:r w:rsidRPr="007C7925">
        <w:t xml:space="preserve"> </w:t>
      </w:r>
    </w:p>
    <w:p w14:paraId="3CA31ED9" w14:textId="3578A572" w:rsidR="007C7925" w:rsidRPr="00394AA6" w:rsidRDefault="007C7925" w:rsidP="00ED7072">
      <w:pPr>
        <w:pStyle w:val="Bullet10"/>
        <w:spacing w:after="40" w:line="240" w:lineRule="exact"/>
        <w:ind w:left="0" w:firstLine="0"/>
        <w:rPr>
          <w:highlight w:val="yellow"/>
        </w:rPr>
      </w:pPr>
      <w:r w:rsidRPr="007C7925">
        <w:t xml:space="preserve">GASB 34 modified the presentation and reporting for governmental entities </w:t>
      </w:r>
      <w:r w:rsidR="003E742B">
        <w:t>that provide</w:t>
      </w:r>
      <w:r w:rsidRPr="007C7925">
        <w:t xml:space="preserve"> fund </w:t>
      </w:r>
      <w:r w:rsidR="003E742B">
        <w:t>statements</w:t>
      </w:r>
      <w:r w:rsidRPr="007C7925">
        <w:t xml:space="preserve"> </w:t>
      </w:r>
      <w:r w:rsidR="003E742B">
        <w:t xml:space="preserve">as well as </w:t>
      </w:r>
      <w:r w:rsidRPr="007C7925">
        <w:t xml:space="preserve">government-wide </w:t>
      </w:r>
      <w:r w:rsidR="003E742B">
        <w:t>statements</w:t>
      </w:r>
      <w:r w:rsidRPr="007C7925">
        <w:t xml:space="preserve">.  It required that activity reported in Proprietary Funds (Enterprise, Internal Service, and some Trust Funds) result in the reporting of net asset balances.  The net asset balances </w:t>
      </w:r>
      <w:r w:rsidRPr="007C7925">
        <w:lastRenderedPageBreak/>
        <w:t>are required to be reported as unrestricted or restricted.  The definition of restri</w:t>
      </w:r>
      <w:r w:rsidR="003E742B">
        <w:t>cted</w:t>
      </w:r>
      <w:r w:rsidRPr="007C7925">
        <w:rPr>
          <w:rStyle w:val="FootnoteReference"/>
          <w:szCs w:val="24"/>
        </w:rPr>
        <w:footnoteReference w:id="56"/>
      </w:r>
      <w:r w:rsidRPr="007C7925">
        <w:t xml:space="preserve"> set a precedent for identifying and reporting restricted resources for all government activities.</w:t>
      </w:r>
    </w:p>
    <w:p w14:paraId="58E33D54" w14:textId="77777777" w:rsidR="007C7925" w:rsidRDefault="007C7925" w:rsidP="00ED7072">
      <w:pPr>
        <w:pStyle w:val="Bullet10"/>
        <w:spacing w:after="40" w:line="240" w:lineRule="exact"/>
        <w:ind w:left="0" w:firstLine="0"/>
      </w:pPr>
      <w:r w:rsidRPr="007C7925">
        <w:t>GASB 54 modified the definition of restricted in relationship to governmental activities (reported in Governmental Funds) and created additional levels of constraint for the reporting of fund balance</w:t>
      </w:r>
      <w:r w:rsidRPr="007C7925">
        <w:rPr>
          <w:rStyle w:val="FootnoteReference"/>
          <w:szCs w:val="24"/>
        </w:rPr>
        <w:footnoteReference w:id="57"/>
      </w:r>
      <w:r w:rsidRPr="007C7925">
        <w:t xml:space="preserve">.  </w:t>
      </w:r>
    </w:p>
    <w:p w14:paraId="20B498D5" w14:textId="15F5B9A1" w:rsidR="007C7925" w:rsidRPr="007C7925" w:rsidRDefault="007C7925" w:rsidP="00ED7072">
      <w:pPr>
        <w:pStyle w:val="Bullet10"/>
        <w:spacing w:after="40" w:line="240" w:lineRule="exact"/>
        <w:ind w:left="0" w:firstLine="0"/>
      </w:pPr>
      <w:r>
        <w:t xml:space="preserve">GASB determined that the term net assets </w:t>
      </w:r>
      <w:proofErr w:type="gramStart"/>
      <w:r>
        <w:t>is</w:t>
      </w:r>
      <w:proofErr w:type="gramEnd"/>
      <w:r>
        <w:t xml:space="preserve"> more identifiable by users of the financial statements in operations where revenue is charged to cover the expenses incurred to generate the revenue.  It is more reflective of the business type activities and economic resource measurement accounted for in Proprietary Fund.  Fund balance is more reflective of the financial </w:t>
      </w:r>
      <w:proofErr w:type="gramStart"/>
      <w:r>
        <w:t>resources</w:t>
      </w:r>
      <w:proofErr w:type="gramEnd"/>
      <w:r>
        <w:t xml:space="preserve"> measurement focus in the Governmental Funds.</w:t>
      </w:r>
    </w:p>
    <w:p w14:paraId="4B57EAA3" w14:textId="77777777" w:rsidR="007C7925" w:rsidRPr="00BD1717" w:rsidRDefault="007C7925" w:rsidP="00BD1717">
      <w:pPr>
        <w:pStyle w:val="Heading3"/>
      </w:pPr>
      <w:bookmarkStart w:id="365" w:name="_Toc296247852"/>
      <w:bookmarkStart w:id="366" w:name="_Toc166149295"/>
      <w:r w:rsidRPr="00BD1717">
        <w:t>Classifications of Net Assets</w:t>
      </w:r>
      <w:bookmarkEnd w:id="365"/>
      <w:bookmarkEnd w:id="366"/>
    </w:p>
    <w:p w14:paraId="06D13F18" w14:textId="77777777" w:rsidR="007C7925" w:rsidRPr="00BD1717" w:rsidRDefault="002D5E19" w:rsidP="005C2F33">
      <w:pPr>
        <w:pStyle w:val="Bullet10"/>
        <w:keepNext/>
        <w:numPr>
          <w:ilvl w:val="0"/>
          <w:numId w:val="33"/>
        </w:numPr>
        <w:spacing w:after="40" w:line="240" w:lineRule="exact"/>
      </w:pPr>
      <w:r>
        <w:t xml:space="preserve">Net </w:t>
      </w:r>
      <w:r w:rsidR="007C7925" w:rsidRPr="00BD1717">
        <w:t>Investment in capital assets</w:t>
      </w:r>
      <w:r w:rsidR="007C7925" w:rsidRPr="00BD1717">
        <w:rPr>
          <w:rStyle w:val="FootnoteReference"/>
          <w:szCs w:val="24"/>
        </w:rPr>
        <w:footnoteReference w:id="58"/>
      </w:r>
      <w:r w:rsidR="007C7925" w:rsidRPr="00BD1717">
        <w:t xml:space="preserve"> – the resources of the fund which are </w:t>
      </w:r>
      <w:r w:rsidR="00BD1717" w:rsidRPr="00BD1717">
        <w:t>not available for operations because of the form of the asset (fixed assets).</w:t>
      </w:r>
    </w:p>
    <w:p w14:paraId="246E20F6" w14:textId="77777777" w:rsidR="007C7925" w:rsidRPr="00BD1717" w:rsidRDefault="00BD1717" w:rsidP="005C2F33">
      <w:pPr>
        <w:pStyle w:val="Bullet10"/>
        <w:keepNext/>
        <w:numPr>
          <w:ilvl w:val="0"/>
          <w:numId w:val="33"/>
        </w:numPr>
        <w:spacing w:after="40" w:line="240" w:lineRule="exact"/>
      </w:pPr>
      <w:r w:rsidRPr="00BD1717">
        <w:t>Restricted – the net residual of revenue resources for which constraint is established by external parties, constitution, or state statute.</w:t>
      </w:r>
    </w:p>
    <w:p w14:paraId="2FF33B69" w14:textId="77777777" w:rsidR="007C7925" w:rsidRPr="00BD1717" w:rsidRDefault="007C7925" w:rsidP="005C2F33">
      <w:pPr>
        <w:pStyle w:val="Bullet10"/>
        <w:numPr>
          <w:ilvl w:val="0"/>
          <w:numId w:val="33"/>
        </w:numPr>
        <w:spacing w:after="40" w:line="240" w:lineRule="exact"/>
      </w:pPr>
      <w:r w:rsidRPr="00BD1717">
        <w:t>Unrestricted</w:t>
      </w:r>
      <w:r w:rsidRPr="00BD1717">
        <w:rPr>
          <w:rStyle w:val="FootnoteReference"/>
          <w:szCs w:val="24"/>
        </w:rPr>
        <w:footnoteReference w:id="59"/>
      </w:r>
      <w:r w:rsidRPr="00BD1717">
        <w:t xml:space="preserve"> </w:t>
      </w:r>
      <w:r w:rsidR="00BD1717" w:rsidRPr="00BD1717">
        <w:t>- the remaining balance of assets less liabilities.</w:t>
      </w:r>
    </w:p>
    <w:p w14:paraId="213AEDE8" w14:textId="30D1A9CF" w:rsidR="007C7925" w:rsidRPr="00BD1717" w:rsidRDefault="007C7925" w:rsidP="00BD1717">
      <w:pPr>
        <w:pStyle w:val="Heading3"/>
      </w:pPr>
      <w:bookmarkStart w:id="367" w:name="_Toc296247853"/>
      <w:bookmarkStart w:id="368" w:name="_Toc166149296"/>
      <w:r w:rsidRPr="00BD1717">
        <w:t xml:space="preserve">Classifications of </w:t>
      </w:r>
      <w:r w:rsidR="00F678F7">
        <w:t xml:space="preserve">Governmental </w:t>
      </w:r>
      <w:r w:rsidRPr="00BD1717">
        <w:t>Fund Balance</w:t>
      </w:r>
      <w:bookmarkEnd w:id="367"/>
      <w:bookmarkEnd w:id="368"/>
    </w:p>
    <w:p w14:paraId="1588B938" w14:textId="7653FFD8" w:rsidR="00E17F2B" w:rsidRDefault="00E17F2B" w:rsidP="005C2F33">
      <w:pPr>
        <w:pStyle w:val="Bullet10"/>
        <w:keepNext/>
        <w:numPr>
          <w:ilvl w:val="0"/>
          <w:numId w:val="34"/>
        </w:numPr>
        <w:spacing w:after="40" w:line="240" w:lineRule="exact"/>
      </w:pPr>
      <w:r w:rsidRPr="00BD1717">
        <w:t xml:space="preserve">Nonspendable – the portion of fund balance which cannot </w:t>
      </w:r>
      <w:proofErr w:type="spellStart"/>
      <w:r w:rsidR="00AF7FDC" w:rsidRPr="00AF7FDC">
        <w:t>cannot</w:t>
      </w:r>
      <w:proofErr w:type="spellEnd"/>
      <w:r w:rsidR="00AF7FDC" w:rsidRPr="00AF7FDC">
        <w:t xml:space="preserve"> be spent because they are either (a) not in spendable form or (b) legally or contractually required to be maintained intact.</w:t>
      </w:r>
    </w:p>
    <w:p w14:paraId="6CC5B10C" w14:textId="3D9B2A3B" w:rsidR="007C7925" w:rsidRPr="00BD1717" w:rsidRDefault="007C7925" w:rsidP="005C2F33">
      <w:pPr>
        <w:pStyle w:val="Bullet10"/>
        <w:keepNext/>
        <w:numPr>
          <w:ilvl w:val="0"/>
          <w:numId w:val="34"/>
        </w:numPr>
        <w:spacing w:after="40" w:line="240" w:lineRule="exact"/>
      </w:pPr>
      <w:r w:rsidRPr="00BD1717">
        <w:t>Restricted –</w:t>
      </w:r>
      <w:r w:rsidR="00AF7FDC">
        <w:t xml:space="preserve"> </w:t>
      </w:r>
      <w:r w:rsidR="00AF7FDC" w:rsidRPr="00AF7FDC">
        <w:t xml:space="preserve">fund balance </w:t>
      </w:r>
      <w:r w:rsidR="00AF7FDC">
        <w:t xml:space="preserve">that </w:t>
      </w:r>
      <w:r w:rsidR="00AF7FDC" w:rsidRPr="00AF7FDC">
        <w:t>can only be used for the specific purposes stipulated by external resource providers, constitutional provisions, or enabling legislation; externally enforceable limitation of usage.</w:t>
      </w:r>
    </w:p>
    <w:p w14:paraId="77261C68" w14:textId="6B6C73BC" w:rsidR="007C7925" w:rsidRPr="00BD1717" w:rsidRDefault="007C7925" w:rsidP="005C2F33">
      <w:pPr>
        <w:pStyle w:val="Bullet10"/>
        <w:keepNext/>
        <w:numPr>
          <w:ilvl w:val="0"/>
          <w:numId w:val="34"/>
        </w:numPr>
        <w:spacing w:after="40" w:line="240" w:lineRule="exact"/>
      </w:pPr>
      <w:r w:rsidRPr="00BD1717">
        <w:t xml:space="preserve">Committed – </w:t>
      </w:r>
      <w:r w:rsidR="00AF7FDC">
        <w:t xml:space="preserve">fund balance that can only be used for the specific purposes determined </w:t>
      </w:r>
      <w:r w:rsidRPr="00BD1717">
        <w:t xml:space="preserve">by </w:t>
      </w:r>
      <w:r w:rsidR="00377A34">
        <w:t xml:space="preserve">formal action of the government’s highest level of decision-making </w:t>
      </w:r>
      <w:proofErr w:type="gramStart"/>
      <w:r w:rsidR="00377A34">
        <w:t>authority</w:t>
      </w:r>
      <w:r w:rsidR="00AF7FDC">
        <w:t>;</w:t>
      </w:r>
      <w:proofErr w:type="gramEnd"/>
      <w:r w:rsidR="00AF7FDC">
        <w:t xml:space="preserve"> self-imposed limitation. </w:t>
      </w:r>
    </w:p>
    <w:p w14:paraId="0C1CB626" w14:textId="5FF10D1B" w:rsidR="007C7925" w:rsidRPr="00BD1717" w:rsidRDefault="007C7925" w:rsidP="005C2F33">
      <w:pPr>
        <w:pStyle w:val="Bullet10"/>
        <w:keepNext/>
        <w:numPr>
          <w:ilvl w:val="0"/>
          <w:numId w:val="34"/>
        </w:numPr>
        <w:spacing w:after="40" w:line="240" w:lineRule="exact"/>
      </w:pPr>
      <w:r w:rsidRPr="00BD1717">
        <w:t xml:space="preserve">Assigned – </w:t>
      </w:r>
      <w:r w:rsidR="00AF7FDC">
        <w:t>fund balance that is constrained by the government’s intent to be used for specific purposes;</w:t>
      </w:r>
      <w:r w:rsidRPr="00BD1717">
        <w:t xml:space="preserve"> </w:t>
      </w:r>
      <w:r w:rsidR="00A86F03">
        <w:t>limitation resulting from intended use.</w:t>
      </w:r>
    </w:p>
    <w:p w14:paraId="2B316CE1" w14:textId="345859DD" w:rsidR="007C7925" w:rsidRDefault="007C7925" w:rsidP="005C2F33">
      <w:pPr>
        <w:pStyle w:val="Bullet10"/>
        <w:numPr>
          <w:ilvl w:val="0"/>
          <w:numId w:val="34"/>
        </w:numPr>
        <w:spacing w:after="40" w:line="240" w:lineRule="exact"/>
      </w:pPr>
      <w:r w:rsidRPr="00BD1717">
        <w:t xml:space="preserve">Unassigned – </w:t>
      </w:r>
      <w:r w:rsidR="00AF7FDC">
        <w:t>fund balance</w:t>
      </w:r>
      <w:r w:rsidRPr="00BD1717">
        <w:t xml:space="preserve"> for which no constraint o</w:t>
      </w:r>
      <w:r w:rsidR="00AF7FDC">
        <w:t>n</w:t>
      </w:r>
      <w:r w:rsidRPr="00BD1717">
        <w:t xml:space="preserve"> use exists</w:t>
      </w:r>
      <w:r w:rsidR="00AF7FDC">
        <w:t>.</w:t>
      </w:r>
    </w:p>
    <w:p w14:paraId="222ACF61" w14:textId="1B294EFB" w:rsidR="00A74CD9" w:rsidRPr="00BD1717" w:rsidRDefault="00F62861" w:rsidP="005C2F33">
      <w:pPr>
        <w:pStyle w:val="Bullet10"/>
        <w:numPr>
          <w:ilvl w:val="0"/>
          <w:numId w:val="34"/>
        </w:numPr>
        <w:spacing w:after="40" w:line="240" w:lineRule="exact"/>
      </w:pPr>
      <w:r>
        <w:rPr>
          <w:b/>
        </w:rPr>
        <w:t>See</w:t>
      </w:r>
      <w:r w:rsidR="00A74CD9">
        <w:rPr>
          <w:b/>
        </w:rPr>
        <w:t xml:space="preserve"> </w:t>
      </w:r>
      <w:r w:rsidR="00804C9A">
        <w:rPr>
          <w:b/>
        </w:rPr>
        <w:t xml:space="preserve">Appendix F </w:t>
      </w:r>
      <w:r w:rsidR="00A74CD9">
        <w:rPr>
          <w:b/>
        </w:rPr>
        <w:t xml:space="preserve">for </w:t>
      </w:r>
      <w:r w:rsidR="00FA0EF1">
        <w:rPr>
          <w:b/>
        </w:rPr>
        <w:t>expanded definitions and further guidance</w:t>
      </w:r>
      <w:r w:rsidR="00A74CD9">
        <w:rPr>
          <w:b/>
        </w:rPr>
        <w:t xml:space="preserve"> on </w:t>
      </w:r>
      <w:r w:rsidR="00F678F7">
        <w:rPr>
          <w:b/>
        </w:rPr>
        <w:t>governmental fund balance classifications</w:t>
      </w:r>
      <w:r w:rsidR="00A74CD9">
        <w:rPr>
          <w:b/>
        </w:rPr>
        <w:t>.</w:t>
      </w:r>
    </w:p>
    <w:p w14:paraId="5F627555" w14:textId="77777777" w:rsidR="007C7925" w:rsidRPr="00BD1717" w:rsidRDefault="007C7925" w:rsidP="00BD1717">
      <w:pPr>
        <w:pStyle w:val="Heading3"/>
      </w:pPr>
      <w:bookmarkStart w:id="369" w:name="_Toc295538790"/>
      <w:bookmarkStart w:id="370" w:name="_Toc296235465"/>
      <w:bookmarkStart w:id="371" w:name="_Toc296235566"/>
      <w:bookmarkStart w:id="372" w:name="_Toc296247854"/>
      <w:bookmarkStart w:id="373" w:name="_Toc166149297"/>
      <w:r w:rsidRPr="00BD1717">
        <w:t>Consumption of Revenue Resources with Constraints</w:t>
      </w:r>
      <w:bookmarkEnd w:id="369"/>
      <w:bookmarkEnd w:id="370"/>
      <w:bookmarkEnd w:id="371"/>
      <w:bookmarkEnd w:id="372"/>
      <w:bookmarkEnd w:id="373"/>
    </w:p>
    <w:p w14:paraId="5F3C2774" w14:textId="77777777" w:rsidR="007C7925" w:rsidRPr="00BD1717" w:rsidRDefault="007C7925" w:rsidP="007C7925">
      <w:pPr>
        <w:spacing w:before="60"/>
      </w:pPr>
      <w:r w:rsidRPr="00BD1717">
        <w:t xml:space="preserve">Paragraph 115 of GASB 34 and Paragraph 23 of GASB 54 require that the State formulate a policy to determine whether to first apply restricted or unrestricted resources when an expense is incurred for purposes for which both restricted and unrestricted net assets are available.  This policy must be </w:t>
      </w:r>
      <w:r w:rsidR="00A74CD9">
        <w:rPr>
          <w:b/>
        </w:rPr>
        <w:t>dis</w:t>
      </w:r>
      <w:r w:rsidRPr="00A74CD9">
        <w:rPr>
          <w:b/>
        </w:rPr>
        <w:t>closed</w:t>
      </w:r>
      <w:r w:rsidRPr="00BD1717">
        <w:t xml:space="preserve"> </w:t>
      </w:r>
      <w:r w:rsidRPr="00BD1717">
        <w:lastRenderedPageBreak/>
        <w:t>in the notes</w:t>
      </w:r>
      <w:r w:rsidR="00BD1717" w:rsidRPr="00BD1717">
        <w:t xml:space="preserve"> to the State’s financial statements</w:t>
      </w:r>
      <w:r w:rsidRPr="00BD1717">
        <w:t>.  It is the policy of the State of South Carolina to apply expenses or expenditures against the restricted resources first.</w:t>
      </w:r>
    </w:p>
    <w:p w14:paraId="21C2645C" w14:textId="77777777" w:rsidR="007C7925" w:rsidRPr="00BD1717" w:rsidRDefault="007C7925" w:rsidP="00BD1717">
      <w:pPr>
        <w:keepLines/>
      </w:pPr>
      <w:r w:rsidRPr="00BD1717">
        <w:t>For governmental funds, paragraph 23 of GASB 54 requires determining whether to first apply committed, assigned, or unassigned resources when an expenditure is incurred for purposes for which any of these unrestricted fund balances are available.  The policy for the determination is required to be disclosed in the notes</w:t>
      </w:r>
      <w:r w:rsidR="00BD1717" w:rsidRPr="00BD1717">
        <w:t xml:space="preserve"> to the State’s financial statements</w:t>
      </w:r>
      <w:r w:rsidRPr="00BD1717">
        <w:t>.  It is the policy of the State of South Carolina to first apply expenditures against any committed resources available, followed by assigned resources, with unassigned as the final application.</w:t>
      </w:r>
    </w:p>
    <w:p w14:paraId="3990E162" w14:textId="654F2D5F" w:rsidR="007C7925" w:rsidRDefault="007C7925" w:rsidP="00BD1717">
      <w:pPr>
        <w:keepLines/>
      </w:pPr>
      <w:r w:rsidRPr="00BD1717">
        <w:t xml:space="preserve">The constraints on use of the revenue resources must be disclosed in the notes to the financial statements.  </w:t>
      </w:r>
      <w:r w:rsidR="00464CBE">
        <w:t>Due to</w:t>
      </w:r>
      <w:r w:rsidRPr="00BD1717">
        <w:t xml:space="preserve"> the decentralized nature of the State of South Carolina’s operations, the Comptroller General's Office </w:t>
      </w:r>
      <w:r w:rsidR="00BD1717" w:rsidRPr="00BD1717">
        <w:t xml:space="preserve">must </w:t>
      </w:r>
      <w:r w:rsidRPr="00BD1717">
        <w:t xml:space="preserve">rely on the Agency to communicate the purpose of the use of the accounting funds and if multiple revenue resources with constraints are accounted for in a single fund to communicate each purpose within the accounting fund.  This information must be evaluated and updated regularly.  </w:t>
      </w:r>
      <w:r w:rsidR="002D5E19">
        <w:t>T</w:t>
      </w:r>
      <w:r w:rsidRPr="00BD1717">
        <w:t xml:space="preserve">he Agency </w:t>
      </w:r>
      <w:r w:rsidR="002D5E19">
        <w:t>must</w:t>
      </w:r>
      <w:r w:rsidRPr="00BD1717">
        <w:t xml:space="preserve"> complete a </w:t>
      </w:r>
      <w:r w:rsidR="00FA0EF1">
        <w:t xml:space="preserve">3.20 </w:t>
      </w:r>
      <w:r w:rsidR="00F678F7">
        <w:t xml:space="preserve">Governmental </w:t>
      </w:r>
      <w:r w:rsidRPr="00BD1717">
        <w:t xml:space="preserve">Fund </w:t>
      </w:r>
      <w:r w:rsidR="002D5E19">
        <w:t xml:space="preserve">Balance </w:t>
      </w:r>
      <w:r w:rsidR="00F678F7">
        <w:t xml:space="preserve">Classification </w:t>
      </w:r>
      <w:r w:rsidR="00FA0EF1">
        <w:t>Reporting Package</w:t>
      </w:r>
      <w:r w:rsidRPr="00BD1717">
        <w:t xml:space="preserve"> to communicate </w:t>
      </w:r>
      <w:r w:rsidR="002D5E19">
        <w:t xml:space="preserve">the classifications </w:t>
      </w:r>
      <w:r w:rsidRPr="00BD1717">
        <w:t>to the Comptroller General's Office for accurate financial reporting.</w:t>
      </w:r>
    </w:p>
    <w:p w14:paraId="06233CC7" w14:textId="77777777" w:rsidR="009B0657" w:rsidRDefault="009B0657" w:rsidP="00CE1C4E">
      <w:pPr>
        <w:pStyle w:val="Bullet10"/>
        <w:spacing w:before="40"/>
        <w:ind w:left="0" w:firstLine="0"/>
        <w:rPr>
          <w:szCs w:val="24"/>
        </w:rPr>
      </w:pPr>
    </w:p>
    <w:p w14:paraId="10DF5F69" w14:textId="77777777" w:rsidR="009B0657" w:rsidRDefault="009B0657">
      <w:pPr>
        <w:spacing w:before="0" w:after="0"/>
        <w:jc w:val="left"/>
        <w:rPr>
          <w:szCs w:val="24"/>
        </w:rPr>
      </w:pPr>
      <w:r>
        <w:rPr>
          <w:szCs w:val="24"/>
        </w:rPr>
        <w:br w:type="page"/>
      </w:r>
    </w:p>
    <w:p w14:paraId="645BECB3" w14:textId="77777777" w:rsidR="00F3076E" w:rsidRDefault="00F3076E" w:rsidP="00645391">
      <w:pPr>
        <w:pStyle w:val="Heading1"/>
      </w:pPr>
      <w:bookmarkStart w:id="374" w:name="_Toc166149298"/>
      <w:bookmarkStart w:id="375" w:name="_Toc296021569"/>
      <w:bookmarkStart w:id="376" w:name="_Toc296235466"/>
      <w:bookmarkStart w:id="377" w:name="_Toc296235567"/>
      <w:bookmarkStart w:id="378" w:name="_Toc296247855"/>
      <w:r>
        <w:lastRenderedPageBreak/>
        <w:t>PART IV GLOSSARY</w:t>
      </w:r>
      <w:bookmarkEnd w:id="374"/>
    </w:p>
    <w:p w14:paraId="359479A7" w14:textId="77777777" w:rsidR="00F3076E" w:rsidRPr="00ED0017" w:rsidRDefault="00F3076E" w:rsidP="00F3076E">
      <w:pPr>
        <w:rPr>
          <w:b/>
        </w:rPr>
      </w:pPr>
      <w:r w:rsidRPr="00ED0017">
        <w:t xml:space="preserve">The following definitions </w:t>
      </w:r>
      <w:r>
        <w:t xml:space="preserve">are alphabetically arranged with reference to the sections in which the terms are utilized. Please be cognizant that definitions may differ slightly for the sections.  These differences have been included in the Terms Column of the following presentation.  If further guidance is </w:t>
      </w:r>
      <w:proofErr w:type="gramStart"/>
      <w:r>
        <w:t>required</w:t>
      </w:r>
      <w:proofErr w:type="gramEnd"/>
      <w:r>
        <w:t xml:space="preserve"> please remember, the Financial Reporting Division of the Comptroller General's Office is just a phone call away.</w:t>
      </w:r>
      <w:r w:rsidRPr="00ED0017">
        <w:t xml:space="preserve"> </w:t>
      </w:r>
    </w:p>
    <w:tbl>
      <w:tblPr>
        <w:tblStyle w:val="TableGrid"/>
        <w:tblW w:w="9918" w:type="dxa"/>
        <w:tblLook w:val="04A0" w:firstRow="1" w:lastRow="0" w:firstColumn="1" w:lastColumn="0" w:noHBand="0" w:noVBand="1"/>
      </w:tblPr>
      <w:tblGrid>
        <w:gridCol w:w="8478"/>
        <w:gridCol w:w="1440"/>
      </w:tblGrid>
      <w:tr w:rsidR="00F3076E" w:rsidRPr="00B9669B" w14:paraId="0DC0E55C" w14:textId="77777777" w:rsidTr="004955A0">
        <w:trPr>
          <w:cantSplit/>
          <w:tblHeader/>
        </w:trPr>
        <w:tc>
          <w:tcPr>
            <w:tcW w:w="8478" w:type="dxa"/>
          </w:tcPr>
          <w:p w14:paraId="1C0BC15B" w14:textId="77777777" w:rsidR="00F3076E" w:rsidRPr="00D24E1B" w:rsidRDefault="00F3076E" w:rsidP="00FC1ABE">
            <w:pPr>
              <w:pBdr>
                <w:bottom w:val="single" w:sz="4" w:space="0" w:color="auto"/>
              </w:pBdr>
              <w:jc w:val="center"/>
              <w:rPr>
                <w:b/>
                <w:sz w:val="26"/>
                <w:szCs w:val="26"/>
              </w:rPr>
            </w:pPr>
            <w:r w:rsidRPr="00D24E1B">
              <w:rPr>
                <w:b/>
                <w:sz w:val="26"/>
                <w:szCs w:val="26"/>
              </w:rPr>
              <w:t>Terms</w:t>
            </w:r>
          </w:p>
        </w:tc>
        <w:tc>
          <w:tcPr>
            <w:tcW w:w="1440" w:type="dxa"/>
          </w:tcPr>
          <w:p w14:paraId="0A0570B1" w14:textId="77777777" w:rsidR="00F3076E" w:rsidRPr="00D24E1B" w:rsidRDefault="00F3076E" w:rsidP="00FC1ABE">
            <w:pPr>
              <w:pBdr>
                <w:bottom w:val="single" w:sz="4" w:space="0" w:color="auto"/>
              </w:pBdr>
              <w:jc w:val="center"/>
              <w:rPr>
                <w:b/>
                <w:sz w:val="26"/>
                <w:szCs w:val="26"/>
              </w:rPr>
            </w:pPr>
            <w:r w:rsidRPr="00D24E1B">
              <w:rPr>
                <w:b/>
                <w:sz w:val="26"/>
                <w:szCs w:val="26"/>
              </w:rPr>
              <w:t>Section</w:t>
            </w:r>
          </w:p>
        </w:tc>
      </w:tr>
      <w:tr w:rsidR="00F3076E" w:rsidRPr="00B9669B" w14:paraId="1203C887" w14:textId="77777777" w:rsidTr="004955A0">
        <w:trPr>
          <w:cantSplit/>
        </w:trPr>
        <w:tc>
          <w:tcPr>
            <w:tcW w:w="8478" w:type="dxa"/>
          </w:tcPr>
          <w:p w14:paraId="3C2BB098" w14:textId="77777777" w:rsidR="00914D43" w:rsidRDefault="00F3076E">
            <w:pPr>
              <w:rPr>
                <w:u w:val="single"/>
              </w:rPr>
            </w:pPr>
            <w:r w:rsidRPr="00B9669B">
              <w:rPr>
                <w:u w:val="single"/>
              </w:rPr>
              <w:t>Accounting Records.</w:t>
            </w:r>
            <w:r w:rsidRPr="00B9669B">
              <w:t xml:space="preserve">  The documentation retained to provide evidence of transaction, issues, evaluations, and decisions related to financial information used by management and provided to external parties.  Accounting records include, but are not limited to, electronic records maintained in an accounting information system, source documents, memos and descriptions, policies and procedures, analysis and working papers, and published documents.  Agency directors establish through policy what are the accounting records of the agency,</w:t>
            </w:r>
            <w:r w:rsidR="00464CBE">
              <w:t xml:space="preserve"> and </w:t>
            </w:r>
            <w:r w:rsidRPr="00B9669B">
              <w:t>in what form they are to be retained</w:t>
            </w:r>
            <w:r w:rsidR="00464CBE">
              <w:t>.</w:t>
            </w:r>
            <w:r w:rsidRPr="00B9669B">
              <w:t xml:space="preserve"> </w:t>
            </w:r>
            <w:r w:rsidR="00464CBE">
              <w:t xml:space="preserve">Statewide policies exist for </w:t>
            </w:r>
            <w:r w:rsidRPr="00B9669B">
              <w:t>the length of retention.  Laws, regulations, and best practices should be considered when establishing policy.</w:t>
            </w:r>
          </w:p>
        </w:tc>
        <w:tc>
          <w:tcPr>
            <w:tcW w:w="1440" w:type="dxa"/>
          </w:tcPr>
          <w:p w14:paraId="73229D91" w14:textId="77777777" w:rsidR="00F3076E" w:rsidRPr="002D7748" w:rsidRDefault="00F3076E" w:rsidP="00FC1ABE">
            <w:pPr>
              <w:spacing w:after="80"/>
            </w:pPr>
            <w:r w:rsidRPr="002D7748">
              <w:t>General</w:t>
            </w:r>
          </w:p>
        </w:tc>
      </w:tr>
      <w:tr w:rsidR="00F3076E" w:rsidRPr="00B9669B" w14:paraId="5A7CAD75" w14:textId="77777777" w:rsidTr="004955A0">
        <w:trPr>
          <w:cantSplit/>
        </w:trPr>
        <w:tc>
          <w:tcPr>
            <w:tcW w:w="8478" w:type="dxa"/>
          </w:tcPr>
          <w:p w14:paraId="36309878" w14:textId="77777777" w:rsidR="00F3076E" w:rsidRPr="00B9669B" w:rsidRDefault="00F3076E" w:rsidP="00FC1ABE">
            <w:r w:rsidRPr="00B9669B">
              <w:rPr>
                <w:u w:val="single"/>
              </w:rPr>
              <w:t>Accounts Payable.</w:t>
            </w:r>
            <w:r w:rsidRPr="00B9669B">
              <w:t xml:space="preserve">  Amounts known in amount and timing owed to identifiable vendors.  </w:t>
            </w:r>
          </w:p>
        </w:tc>
        <w:tc>
          <w:tcPr>
            <w:tcW w:w="1440" w:type="dxa"/>
          </w:tcPr>
          <w:p w14:paraId="0155FAA1" w14:textId="77777777" w:rsidR="00F3076E" w:rsidRPr="002D7748" w:rsidRDefault="00F3076E" w:rsidP="00FC1ABE">
            <w:pPr>
              <w:spacing w:after="80"/>
            </w:pPr>
            <w:r w:rsidRPr="002D7748">
              <w:t>Section _.12</w:t>
            </w:r>
          </w:p>
        </w:tc>
      </w:tr>
      <w:tr w:rsidR="00F3076E" w:rsidRPr="00B9669B" w14:paraId="26619211" w14:textId="77777777" w:rsidTr="004955A0">
        <w:trPr>
          <w:cantSplit/>
        </w:trPr>
        <w:tc>
          <w:tcPr>
            <w:tcW w:w="8478" w:type="dxa"/>
          </w:tcPr>
          <w:p w14:paraId="7C173978" w14:textId="77777777" w:rsidR="00F3076E" w:rsidRPr="00B9669B" w:rsidRDefault="00F3076E" w:rsidP="00FC1ABE">
            <w:pPr>
              <w:pStyle w:val="NormalIndent"/>
              <w:ind w:left="0"/>
              <w:rPr>
                <w:szCs w:val="24"/>
              </w:rPr>
            </w:pPr>
            <w:r w:rsidRPr="00B9669B">
              <w:rPr>
                <w:szCs w:val="24"/>
                <w:u w:val="single"/>
              </w:rPr>
              <w:t>Accounts Receivable</w:t>
            </w:r>
            <w:r w:rsidRPr="00B9669B">
              <w:rPr>
                <w:szCs w:val="24"/>
              </w:rPr>
              <w:t xml:space="preserve">.  The valuation of </w:t>
            </w:r>
            <w:r w:rsidR="00464CBE">
              <w:rPr>
                <w:szCs w:val="24"/>
              </w:rPr>
              <w:t xml:space="preserve">goods or </w:t>
            </w:r>
            <w:r w:rsidRPr="00B9669B">
              <w:rPr>
                <w:szCs w:val="24"/>
              </w:rPr>
              <w:t xml:space="preserve">services provided prior to June 30 for which payment has not been received </w:t>
            </w:r>
            <w:proofErr w:type="gramStart"/>
            <w:r w:rsidRPr="00B9669B">
              <w:rPr>
                <w:szCs w:val="24"/>
              </w:rPr>
              <w:t>at</w:t>
            </w:r>
            <w:proofErr w:type="gramEnd"/>
            <w:r w:rsidRPr="00B9669B">
              <w:rPr>
                <w:szCs w:val="24"/>
              </w:rPr>
              <w:t xml:space="preserve"> June 30.  This could include amounts already invoiced to customers (service recipients) or amounts for which invoices have not been generated.  </w:t>
            </w:r>
          </w:p>
        </w:tc>
        <w:tc>
          <w:tcPr>
            <w:tcW w:w="1440" w:type="dxa"/>
          </w:tcPr>
          <w:p w14:paraId="22049F57" w14:textId="77777777" w:rsidR="00F3076E" w:rsidRPr="002D7748" w:rsidRDefault="00F3076E" w:rsidP="00FC1ABE">
            <w:pPr>
              <w:pStyle w:val="NormalIndent"/>
              <w:spacing w:after="80"/>
              <w:ind w:left="0"/>
              <w:rPr>
                <w:szCs w:val="24"/>
              </w:rPr>
            </w:pPr>
            <w:r w:rsidRPr="002D7748">
              <w:t>Section _.4</w:t>
            </w:r>
          </w:p>
        </w:tc>
      </w:tr>
      <w:tr w:rsidR="00F3076E" w:rsidRPr="00B9669B" w14:paraId="6C603B66" w14:textId="77777777" w:rsidTr="004955A0">
        <w:trPr>
          <w:cantSplit/>
        </w:trPr>
        <w:tc>
          <w:tcPr>
            <w:tcW w:w="8478" w:type="dxa"/>
          </w:tcPr>
          <w:p w14:paraId="082D5844" w14:textId="77777777" w:rsidR="00F3076E" w:rsidRPr="00B9669B" w:rsidRDefault="00F3076E" w:rsidP="00FC1ABE">
            <w:pPr>
              <w:rPr>
                <w:szCs w:val="24"/>
              </w:rPr>
            </w:pPr>
            <w:r w:rsidRPr="00B9669B">
              <w:rPr>
                <w:szCs w:val="24"/>
                <w:u w:val="single"/>
              </w:rPr>
              <w:t>Accrual Basis</w:t>
            </w:r>
            <w:r w:rsidRPr="00B9669B">
              <w:rPr>
                <w:szCs w:val="24"/>
              </w:rPr>
              <w:t xml:space="preserve">.  This basis of accounting (see definition </w:t>
            </w:r>
            <w:r>
              <w:rPr>
                <w:szCs w:val="24"/>
              </w:rPr>
              <w:t>provided in this glossary</w:t>
            </w:r>
            <w:r w:rsidRPr="00B9669B">
              <w:rPr>
                <w:szCs w:val="24"/>
              </w:rPr>
              <w:t xml:space="preserve">) requires recognition of the effects of transactions or events when those transactions or events take place (rather than when cash is received or paid).  </w:t>
            </w:r>
          </w:p>
        </w:tc>
        <w:tc>
          <w:tcPr>
            <w:tcW w:w="1440" w:type="dxa"/>
          </w:tcPr>
          <w:p w14:paraId="4E9FE41F" w14:textId="77777777" w:rsidR="00F3076E" w:rsidRPr="002D7748" w:rsidRDefault="00F3076E" w:rsidP="00FC1ABE">
            <w:pPr>
              <w:spacing w:after="80"/>
            </w:pPr>
            <w:r w:rsidRPr="002D7748">
              <w:t>Section _.4</w:t>
            </w:r>
          </w:p>
          <w:p w14:paraId="66FF54AC" w14:textId="77777777" w:rsidR="00F3076E" w:rsidRPr="002D7748" w:rsidRDefault="00F3076E" w:rsidP="00FC1ABE">
            <w:pPr>
              <w:spacing w:before="40" w:after="80"/>
            </w:pPr>
            <w:r w:rsidRPr="002D7748">
              <w:t>Section _.5</w:t>
            </w:r>
          </w:p>
        </w:tc>
      </w:tr>
      <w:tr w:rsidR="00F3076E" w:rsidRPr="00B9669B" w14:paraId="5CAE076A" w14:textId="77777777" w:rsidTr="004955A0">
        <w:trPr>
          <w:cantSplit/>
        </w:trPr>
        <w:tc>
          <w:tcPr>
            <w:tcW w:w="8478" w:type="dxa"/>
          </w:tcPr>
          <w:p w14:paraId="42D3ADFE" w14:textId="77777777" w:rsidR="00F3076E" w:rsidRPr="00B9669B" w:rsidRDefault="00F3076E" w:rsidP="00FC1ABE">
            <w:pPr>
              <w:pStyle w:val="Bullet10"/>
              <w:ind w:left="0" w:firstLine="0"/>
              <w:rPr>
                <w:szCs w:val="24"/>
              </w:rPr>
            </w:pPr>
            <w:r w:rsidRPr="00B9669B">
              <w:rPr>
                <w:szCs w:val="24"/>
                <w:u w:val="single"/>
              </w:rPr>
              <w:t>Accrued Expenses.</w:t>
            </w:r>
            <w:r w:rsidRPr="00B9669B">
              <w:rPr>
                <w:szCs w:val="24"/>
              </w:rPr>
              <w:t xml:space="preserve">  Calculations and estimates of amounts and timing of transactions owed to parties outside of the State’s reporting entity.</w:t>
            </w:r>
          </w:p>
        </w:tc>
        <w:tc>
          <w:tcPr>
            <w:tcW w:w="1440" w:type="dxa"/>
          </w:tcPr>
          <w:p w14:paraId="4DC6BF84" w14:textId="77777777" w:rsidR="00F3076E" w:rsidRPr="002D7748" w:rsidRDefault="00F3076E" w:rsidP="00FC1ABE">
            <w:pPr>
              <w:pStyle w:val="Bullet10"/>
              <w:spacing w:after="80"/>
              <w:ind w:left="0" w:firstLine="0"/>
              <w:rPr>
                <w:szCs w:val="24"/>
              </w:rPr>
            </w:pPr>
            <w:r w:rsidRPr="002D7748">
              <w:t>Section _.12</w:t>
            </w:r>
          </w:p>
        </w:tc>
      </w:tr>
      <w:tr w:rsidR="00F3076E" w:rsidRPr="00B9669B" w14:paraId="0411E2AA" w14:textId="77777777" w:rsidTr="004955A0">
        <w:trPr>
          <w:cantSplit/>
        </w:trPr>
        <w:tc>
          <w:tcPr>
            <w:tcW w:w="8478" w:type="dxa"/>
          </w:tcPr>
          <w:p w14:paraId="1B5F4CE5" w14:textId="77777777" w:rsidR="00F3076E" w:rsidRPr="00B9669B" w:rsidRDefault="00F3076E" w:rsidP="00FC1A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Accumulated Depreciation</w:t>
            </w:r>
            <w:r w:rsidRPr="00B9669B">
              <w:rPr>
                <w:szCs w:val="24"/>
              </w:rPr>
              <w:t xml:space="preserve">.  The sum of the recognized depreciation to date.  </w:t>
            </w:r>
          </w:p>
        </w:tc>
        <w:tc>
          <w:tcPr>
            <w:tcW w:w="1440" w:type="dxa"/>
          </w:tcPr>
          <w:p w14:paraId="3215A96F" w14:textId="77777777" w:rsidR="00F3076E" w:rsidRPr="002D7748" w:rsidRDefault="00F3076E" w:rsidP="00FC1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szCs w:val="24"/>
              </w:rPr>
            </w:pPr>
            <w:r w:rsidRPr="002D7748">
              <w:t>Section _.8</w:t>
            </w:r>
          </w:p>
        </w:tc>
      </w:tr>
      <w:tr w:rsidR="00F3076E" w:rsidRPr="00B9669B" w14:paraId="3203B57A" w14:textId="77777777" w:rsidTr="004955A0">
        <w:trPr>
          <w:cantSplit/>
        </w:trPr>
        <w:tc>
          <w:tcPr>
            <w:tcW w:w="8478" w:type="dxa"/>
          </w:tcPr>
          <w:p w14:paraId="3D315758" w14:textId="53BD04C2" w:rsidR="00F3076E" w:rsidRPr="00B9669B" w:rsidRDefault="00F3076E" w:rsidP="00FC1A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Acquisition value.</w:t>
            </w:r>
            <w:r w:rsidRPr="00B9669B">
              <w:rPr>
                <w:szCs w:val="24"/>
              </w:rPr>
              <w:t xml:space="preserve">  The value of an asset at the time of acquisition.  Historical cost (see definition </w:t>
            </w:r>
            <w:r>
              <w:rPr>
                <w:szCs w:val="24"/>
              </w:rPr>
              <w:t>provided in this glossary</w:t>
            </w:r>
            <w:r w:rsidRPr="00B9669B">
              <w:rPr>
                <w:szCs w:val="24"/>
              </w:rPr>
              <w:t xml:space="preserve">) if the asset was purchased or fair value (see definition </w:t>
            </w:r>
            <w:r>
              <w:rPr>
                <w:szCs w:val="24"/>
              </w:rPr>
              <w:t>provided in this glossary</w:t>
            </w:r>
            <w:r w:rsidRPr="00B9669B">
              <w:rPr>
                <w:szCs w:val="24"/>
              </w:rPr>
              <w:t xml:space="preserve">) at the date of the donation if the asset was donated.  </w:t>
            </w:r>
          </w:p>
        </w:tc>
        <w:tc>
          <w:tcPr>
            <w:tcW w:w="1440" w:type="dxa"/>
          </w:tcPr>
          <w:p w14:paraId="28F09EAA" w14:textId="77777777" w:rsidR="00F3076E" w:rsidRPr="002D7748" w:rsidRDefault="00F3076E" w:rsidP="00FC1ABE">
            <w:pPr>
              <w:spacing w:after="80"/>
            </w:pPr>
            <w:r w:rsidRPr="002D7748">
              <w:t>Section _.8</w:t>
            </w:r>
          </w:p>
        </w:tc>
      </w:tr>
      <w:tr w:rsidR="00F3076E" w:rsidRPr="00B9669B" w14:paraId="7C042FB0" w14:textId="77777777" w:rsidTr="004955A0">
        <w:trPr>
          <w:cantSplit/>
        </w:trPr>
        <w:tc>
          <w:tcPr>
            <w:tcW w:w="8478" w:type="dxa"/>
          </w:tcPr>
          <w:p w14:paraId="5355DB5E" w14:textId="77777777" w:rsidR="00F3076E" w:rsidRPr="00B9669B" w:rsidRDefault="00F3076E" w:rsidP="00C35FA3">
            <w:pPr>
              <w:pStyle w:val="Bullet10"/>
              <w:ind w:left="0" w:firstLine="0"/>
              <w:rPr>
                <w:szCs w:val="24"/>
              </w:rPr>
            </w:pPr>
            <w:r w:rsidRPr="00B9669B">
              <w:rPr>
                <w:szCs w:val="24"/>
                <w:u w:val="single"/>
              </w:rPr>
              <w:lastRenderedPageBreak/>
              <w:t xml:space="preserve">Allowance for Uncollectible </w:t>
            </w:r>
            <w:r>
              <w:rPr>
                <w:szCs w:val="24"/>
                <w:u w:val="single"/>
              </w:rPr>
              <w:t>Receivables</w:t>
            </w:r>
            <w:r w:rsidRPr="00B9669B">
              <w:rPr>
                <w:szCs w:val="24"/>
              </w:rPr>
              <w:t xml:space="preserve">.  An estimate of amounts reported as receivables for which </w:t>
            </w:r>
            <w:r>
              <w:rPr>
                <w:szCs w:val="24"/>
              </w:rPr>
              <w:t xml:space="preserve">collection is not expected, questionable, or </w:t>
            </w:r>
            <w:r w:rsidRPr="00B9669B">
              <w:rPr>
                <w:szCs w:val="24"/>
              </w:rPr>
              <w:t xml:space="preserve">the probability of collection is uncertain.  </w:t>
            </w:r>
            <w:r>
              <w:rPr>
                <w:szCs w:val="24"/>
              </w:rPr>
              <w:t>The estimate should be developed through a systematic evaluation that is well document</w:t>
            </w:r>
            <w:r w:rsidR="00C35FA3">
              <w:rPr>
                <w:szCs w:val="24"/>
              </w:rPr>
              <w:t>ed</w:t>
            </w:r>
            <w:r>
              <w:rPr>
                <w:szCs w:val="24"/>
              </w:rPr>
              <w:t>.</w:t>
            </w:r>
          </w:p>
        </w:tc>
        <w:tc>
          <w:tcPr>
            <w:tcW w:w="1440" w:type="dxa"/>
          </w:tcPr>
          <w:p w14:paraId="1FCD7B05" w14:textId="77777777" w:rsidR="00F3076E" w:rsidRPr="002D7748" w:rsidRDefault="00F3076E" w:rsidP="00FC1ABE">
            <w:pPr>
              <w:spacing w:after="80"/>
            </w:pPr>
            <w:r w:rsidRPr="002D7748">
              <w:t>Section _.2</w:t>
            </w:r>
          </w:p>
          <w:p w14:paraId="28F52870" w14:textId="77777777" w:rsidR="00F3076E" w:rsidRPr="002D7748" w:rsidRDefault="00F3076E" w:rsidP="00FC1ABE">
            <w:pPr>
              <w:spacing w:before="40" w:after="80"/>
            </w:pPr>
            <w:r w:rsidRPr="002D7748">
              <w:t>Section _.4</w:t>
            </w:r>
          </w:p>
          <w:p w14:paraId="601D1E50" w14:textId="77777777" w:rsidR="00F3076E" w:rsidRPr="002D7748" w:rsidRDefault="00F3076E" w:rsidP="00FC1ABE">
            <w:pPr>
              <w:spacing w:before="40" w:after="80"/>
            </w:pPr>
            <w:r w:rsidRPr="002D7748">
              <w:t>Section _.5</w:t>
            </w:r>
          </w:p>
          <w:p w14:paraId="5820C3CB" w14:textId="77777777" w:rsidR="00F3076E" w:rsidRPr="002D7748" w:rsidRDefault="00F3076E" w:rsidP="00FC1ABE">
            <w:pPr>
              <w:spacing w:before="40" w:after="80"/>
            </w:pPr>
            <w:r w:rsidRPr="002D7748">
              <w:t>Section _.10</w:t>
            </w:r>
          </w:p>
        </w:tc>
      </w:tr>
      <w:tr w:rsidR="00F3076E" w:rsidRPr="00B9669B" w14:paraId="593FBE1B" w14:textId="77777777" w:rsidTr="004955A0">
        <w:trPr>
          <w:cantSplit/>
        </w:trPr>
        <w:tc>
          <w:tcPr>
            <w:tcW w:w="8478" w:type="dxa"/>
          </w:tcPr>
          <w:p w14:paraId="47A67730" w14:textId="77777777" w:rsidR="00F3076E" w:rsidRPr="00B9669B" w:rsidRDefault="00F3076E" w:rsidP="00FC1ABE">
            <w:pPr>
              <w:rPr>
                <w:u w:val="single"/>
              </w:rPr>
            </w:pPr>
            <w:r w:rsidRPr="00B9669B">
              <w:rPr>
                <w:u w:val="single"/>
              </w:rPr>
              <w:t>Annual Leave Earned by Employees</w:t>
            </w:r>
            <w:r w:rsidRPr="00B9669B">
              <w:t>.  The amount of annual leave credited to an employee during the reporting period.</w:t>
            </w:r>
          </w:p>
        </w:tc>
        <w:tc>
          <w:tcPr>
            <w:tcW w:w="1440" w:type="dxa"/>
          </w:tcPr>
          <w:p w14:paraId="583736D7" w14:textId="77777777" w:rsidR="00F3076E" w:rsidRPr="002D7748" w:rsidRDefault="00F3076E" w:rsidP="00FC1ABE">
            <w:pPr>
              <w:spacing w:after="80"/>
            </w:pPr>
            <w:r w:rsidRPr="002D7748">
              <w:t>Section _.17</w:t>
            </w:r>
          </w:p>
        </w:tc>
      </w:tr>
      <w:tr w:rsidR="00F3076E" w:rsidRPr="00B9669B" w14:paraId="21ADF1CD" w14:textId="77777777" w:rsidTr="004955A0">
        <w:trPr>
          <w:cantSplit/>
        </w:trPr>
        <w:tc>
          <w:tcPr>
            <w:tcW w:w="8478" w:type="dxa"/>
          </w:tcPr>
          <w:p w14:paraId="7D6CF024" w14:textId="77777777" w:rsidR="00F3076E" w:rsidRPr="00B9669B" w:rsidRDefault="00F3076E" w:rsidP="00FC1ABE">
            <w:r w:rsidRPr="00B9669B">
              <w:rPr>
                <w:u w:val="single"/>
              </w:rPr>
              <w:t>Annual Leave</w:t>
            </w:r>
            <w:r w:rsidRPr="00B9669B">
              <w:t>.  The leave awarded to employees based on years of service with the State of South Carolina.  It does not include amounts transferred to employees under the State Employee Leave</w:t>
            </w:r>
            <w:r w:rsidRPr="00B9669B">
              <w:noBreakHyphen/>
              <w:t xml:space="preserve">Transfer Program (see definition </w:t>
            </w:r>
            <w:r>
              <w:t>provided in this glossary</w:t>
            </w:r>
            <w:r w:rsidRPr="00B9669B">
              <w:t xml:space="preserve">).  </w:t>
            </w:r>
          </w:p>
        </w:tc>
        <w:tc>
          <w:tcPr>
            <w:tcW w:w="1440" w:type="dxa"/>
          </w:tcPr>
          <w:p w14:paraId="57458937" w14:textId="77777777" w:rsidR="00F3076E" w:rsidRPr="002D7748" w:rsidRDefault="00F3076E" w:rsidP="00FC1ABE">
            <w:pPr>
              <w:spacing w:after="80"/>
            </w:pPr>
            <w:r w:rsidRPr="002D7748">
              <w:t>Section _.17</w:t>
            </w:r>
          </w:p>
        </w:tc>
      </w:tr>
      <w:tr w:rsidR="004955A0" w:rsidRPr="00B9669B" w14:paraId="11C5D5C5" w14:textId="77777777" w:rsidTr="004955A0">
        <w:trPr>
          <w:cantSplit/>
        </w:trPr>
        <w:tc>
          <w:tcPr>
            <w:tcW w:w="8478" w:type="dxa"/>
          </w:tcPr>
          <w:p w14:paraId="0701A8D1" w14:textId="0ABC7ACE" w:rsidR="004955A0" w:rsidRPr="00B9669B" w:rsidRDefault="004955A0" w:rsidP="003B02B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u w:val="single"/>
              </w:rPr>
            </w:pPr>
            <w:r>
              <w:rPr>
                <w:szCs w:val="24"/>
                <w:u w:val="single"/>
              </w:rPr>
              <w:t>Asset Under Construction (AUC)</w:t>
            </w:r>
            <w:r w:rsidRPr="00B9669B">
              <w:rPr>
                <w:szCs w:val="24"/>
              </w:rPr>
              <w:t>.</w:t>
            </w:r>
            <w:r w:rsidR="00436DF0">
              <w:rPr>
                <w:szCs w:val="24"/>
              </w:rPr>
              <w:t xml:space="preserve"> See </w:t>
            </w:r>
            <w:r>
              <w:rPr>
                <w:szCs w:val="24"/>
              </w:rPr>
              <w:t>Construction in Progress</w:t>
            </w:r>
            <w:r w:rsidR="00436DF0">
              <w:rPr>
                <w:szCs w:val="24"/>
              </w:rPr>
              <w:t>.</w:t>
            </w:r>
            <w:r w:rsidRPr="00B9669B">
              <w:rPr>
                <w:szCs w:val="24"/>
              </w:rPr>
              <w:t xml:space="preserve">  </w:t>
            </w:r>
          </w:p>
        </w:tc>
        <w:tc>
          <w:tcPr>
            <w:tcW w:w="1440" w:type="dxa"/>
          </w:tcPr>
          <w:p w14:paraId="65B5FD5D" w14:textId="754D67D6" w:rsidR="004955A0" w:rsidRPr="002D7748" w:rsidRDefault="004955A0" w:rsidP="004955A0">
            <w:pPr>
              <w:spacing w:after="80"/>
            </w:pPr>
            <w:r w:rsidRPr="002D7748">
              <w:t>Section _.8</w:t>
            </w:r>
          </w:p>
        </w:tc>
      </w:tr>
      <w:tr w:rsidR="004955A0" w:rsidRPr="00B9669B" w14:paraId="47A4547A" w14:textId="77777777" w:rsidTr="004955A0">
        <w:trPr>
          <w:cantSplit/>
        </w:trPr>
        <w:tc>
          <w:tcPr>
            <w:tcW w:w="8478" w:type="dxa"/>
          </w:tcPr>
          <w:p w14:paraId="292211C0" w14:textId="20EA7377" w:rsidR="004955A0" w:rsidRPr="00B9669B" w:rsidRDefault="004955A0" w:rsidP="004955A0">
            <w:pPr>
              <w:rPr>
                <w:u w:val="single"/>
              </w:rPr>
            </w:pPr>
            <w:r w:rsidRPr="00B9669B">
              <w:rPr>
                <w:u w:val="single"/>
              </w:rPr>
              <w:t>Assigned</w:t>
            </w:r>
            <w:r>
              <w:rPr>
                <w:u w:val="single"/>
              </w:rPr>
              <w:t xml:space="preserve"> fund balance</w:t>
            </w:r>
            <w:r w:rsidRPr="00B9669B">
              <w:rPr>
                <w:u w:val="single"/>
              </w:rPr>
              <w:t>.</w:t>
            </w:r>
            <w:r w:rsidRPr="00B9669B">
              <w:t xml:space="preserve">  The fund balance classification for which constraints on the use of revenue resources are established through </w:t>
            </w:r>
            <w:r w:rsidR="00D77C74">
              <w:t xml:space="preserve">the government’s intent to be used for specific purposes. For the State specifically, amounts that are unavailable for appropriation and are not classified as nonspendable, restricted, or committed. Assignments are generally made by appropriation actions of the legislature. </w:t>
            </w:r>
          </w:p>
        </w:tc>
        <w:tc>
          <w:tcPr>
            <w:tcW w:w="1440" w:type="dxa"/>
          </w:tcPr>
          <w:p w14:paraId="1B0FC925" w14:textId="77777777" w:rsidR="004955A0" w:rsidRPr="002D7748" w:rsidRDefault="004955A0" w:rsidP="004955A0">
            <w:pPr>
              <w:spacing w:after="80"/>
            </w:pPr>
            <w:r w:rsidRPr="002D7748">
              <w:t>Section _.20</w:t>
            </w:r>
          </w:p>
        </w:tc>
      </w:tr>
      <w:tr w:rsidR="004955A0" w:rsidRPr="00B9669B" w14:paraId="69046400" w14:textId="77777777" w:rsidTr="004955A0">
        <w:trPr>
          <w:cantSplit/>
        </w:trPr>
        <w:tc>
          <w:tcPr>
            <w:tcW w:w="8478" w:type="dxa"/>
          </w:tcPr>
          <w:p w14:paraId="0649A377" w14:textId="77777777" w:rsidR="004955A0" w:rsidRPr="00B9669B" w:rsidRDefault="004955A0" w:rsidP="004955A0">
            <w:pPr>
              <w:keepLines/>
              <w:rPr>
                <w:szCs w:val="24"/>
              </w:rPr>
            </w:pPr>
            <w:r w:rsidRPr="00B9669B">
              <w:rPr>
                <w:szCs w:val="24"/>
                <w:u w:val="single"/>
              </w:rPr>
              <w:t>Authorized Balance</w:t>
            </w:r>
            <w:r w:rsidRPr="00B9669B">
              <w:rPr>
                <w:szCs w:val="24"/>
              </w:rPr>
              <w:t xml:space="preserve">.  Upon establishment of a petty cash fund (either cash on hand or deposit account) the agency requested an amount which was authorized by the State Auditor’s Office.  This amount at which the account should be maintained is the authorized balance.  Because petty cash balances should be maintained at the authorized balance to provide timely and accurate reporting of the related expenses, the CGO will report these balances at the authorized balance unless information is provided that indicates a substantial decline in the balance without timely replenishment.  When reviewing the SCEIS reports for confirmation of balance, the account balance should be the authorized balance.  </w:t>
            </w:r>
          </w:p>
        </w:tc>
        <w:tc>
          <w:tcPr>
            <w:tcW w:w="1440" w:type="dxa"/>
          </w:tcPr>
          <w:p w14:paraId="5210C939" w14:textId="77777777" w:rsidR="004955A0" w:rsidRPr="002D7748" w:rsidRDefault="004955A0" w:rsidP="004955A0">
            <w:pPr>
              <w:spacing w:after="80"/>
              <w:rPr>
                <w:szCs w:val="24"/>
              </w:rPr>
            </w:pPr>
            <w:r w:rsidRPr="002D7748">
              <w:t>Section _.1</w:t>
            </w:r>
          </w:p>
        </w:tc>
      </w:tr>
      <w:tr w:rsidR="004955A0" w:rsidRPr="00B9669B" w14:paraId="525101B6" w14:textId="77777777" w:rsidTr="004955A0">
        <w:trPr>
          <w:cantSplit/>
        </w:trPr>
        <w:tc>
          <w:tcPr>
            <w:tcW w:w="8478" w:type="dxa"/>
          </w:tcPr>
          <w:p w14:paraId="687D3B19" w14:textId="77777777" w:rsidR="004955A0" w:rsidRDefault="004955A0" w:rsidP="004955A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40"/>
              <w:rPr>
                <w:szCs w:val="24"/>
              </w:rPr>
            </w:pPr>
            <w:r w:rsidRPr="00B9669B">
              <w:rPr>
                <w:szCs w:val="24"/>
                <w:u w:val="single"/>
              </w:rPr>
              <w:lastRenderedPageBreak/>
              <w:t>Availability Period.</w:t>
            </w:r>
            <w:r w:rsidRPr="00B9669B">
              <w:rPr>
                <w:szCs w:val="24"/>
              </w:rPr>
              <w:t xml:space="preserve">  </w:t>
            </w:r>
            <w:r>
              <w:rPr>
                <w:szCs w:val="24"/>
              </w:rPr>
              <w:t xml:space="preserve">The period used in reporting principles to determine the earnings process as reported in Governmental Fund Types.  It is identified through the establishment of reporting policy by the reporting entity.  For the State of </w:t>
            </w:r>
            <w:proofErr w:type="gramStart"/>
            <w:r>
              <w:rPr>
                <w:szCs w:val="24"/>
              </w:rPr>
              <w:t>South Carolina</w:t>
            </w:r>
            <w:proofErr w:type="gramEnd"/>
            <w:r>
              <w:rPr>
                <w:szCs w:val="24"/>
              </w:rPr>
              <w:t xml:space="preserve"> the following policies are established: </w:t>
            </w:r>
          </w:p>
          <w:p w14:paraId="27512BE3" w14:textId="77777777" w:rsidR="004955A0" w:rsidRDefault="004955A0" w:rsidP="004955A0">
            <w:pPr>
              <w:keepLines/>
              <w:tabs>
                <w:tab w:val="left" w:pos="45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40"/>
              <w:ind w:left="1628" w:hanging="1354"/>
              <w:rPr>
                <w:szCs w:val="24"/>
              </w:rPr>
            </w:pPr>
            <w:r>
              <w:rPr>
                <w:szCs w:val="24"/>
              </w:rPr>
              <w:tab/>
              <w:t xml:space="preserve">Sec _.2 </w:t>
            </w:r>
            <w:r>
              <w:rPr>
                <w:szCs w:val="24"/>
              </w:rPr>
              <w:tab/>
              <w:t xml:space="preserve">Taxes Receivable – tax revenue collected or expected </w:t>
            </w:r>
            <w:r w:rsidRPr="00B9669B">
              <w:rPr>
                <w:szCs w:val="24"/>
              </w:rPr>
              <w:t xml:space="preserve">to be collected any time before the </w:t>
            </w:r>
            <w:r w:rsidRPr="00B9669B">
              <w:rPr>
                <w:i/>
                <w:szCs w:val="24"/>
              </w:rPr>
              <w:t>next</w:t>
            </w:r>
            <w:r w:rsidRPr="00B9669B">
              <w:rPr>
                <w:szCs w:val="24"/>
              </w:rPr>
              <w:t xml:space="preserve"> June 30</w:t>
            </w:r>
            <w:r>
              <w:rPr>
                <w:szCs w:val="24"/>
              </w:rPr>
              <w:t>th</w:t>
            </w:r>
            <w:r w:rsidRPr="00B9669B">
              <w:rPr>
                <w:szCs w:val="24"/>
              </w:rPr>
              <w:t xml:space="preserve">.  </w:t>
            </w:r>
          </w:p>
          <w:p w14:paraId="700D7C54" w14:textId="77777777" w:rsidR="004955A0" w:rsidRDefault="004955A0" w:rsidP="004955A0">
            <w:pPr>
              <w:keepLines/>
              <w:tabs>
                <w:tab w:val="left" w:pos="45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40"/>
              <w:ind w:left="1628" w:hanging="1354"/>
              <w:rPr>
                <w:szCs w:val="24"/>
              </w:rPr>
            </w:pPr>
            <w:r>
              <w:rPr>
                <w:szCs w:val="24"/>
              </w:rPr>
              <w:tab/>
              <w:t xml:space="preserve">Sec. _.3 </w:t>
            </w:r>
            <w:r>
              <w:rPr>
                <w:szCs w:val="24"/>
              </w:rPr>
              <w:tab/>
              <w:t xml:space="preserve">Grants Receivable – grant or contributions </w:t>
            </w:r>
            <w:r w:rsidRPr="00B9669B">
              <w:rPr>
                <w:szCs w:val="24"/>
              </w:rPr>
              <w:t xml:space="preserve">collected or expected to be collected any time before the </w:t>
            </w:r>
            <w:r w:rsidRPr="00B9669B">
              <w:rPr>
                <w:i/>
                <w:szCs w:val="24"/>
              </w:rPr>
              <w:t>next</w:t>
            </w:r>
            <w:r w:rsidRPr="00B9669B">
              <w:rPr>
                <w:szCs w:val="24"/>
              </w:rPr>
              <w:t xml:space="preserve"> June 30</w:t>
            </w:r>
            <w:r>
              <w:rPr>
                <w:szCs w:val="24"/>
              </w:rPr>
              <w:t>th</w:t>
            </w:r>
            <w:r w:rsidRPr="00B9669B">
              <w:rPr>
                <w:szCs w:val="24"/>
              </w:rPr>
              <w:t xml:space="preserve">.  </w:t>
            </w:r>
          </w:p>
          <w:p w14:paraId="50678CB0" w14:textId="77777777" w:rsidR="004955A0" w:rsidRDefault="004955A0" w:rsidP="004955A0">
            <w:pPr>
              <w:keepLines/>
              <w:tabs>
                <w:tab w:val="left" w:pos="45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after="40"/>
              <w:ind w:left="1628" w:hanging="1354"/>
              <w:rPr>
                <w:szCs w:val="24"/>
              </w:rPr>
            </w:pPr>
            <w:r>
              <w:rPr>
                <w:szCs w:val="24"/>
              </w:rPr>
              <w:tab/>
              <w:t xml:space="preserve">Sec _.5 </w:t>
            </w:r>
            <w:r>
              <w:rPr>
                <w:szCs w:val="24"/>
              </w:rPr>
              <w:tab/>
              <w:t xml:space="preserve">Refunds Receivable - </w:t>
            </w:r>
            <w:r w:rsidRPr="00B9669B">
              <w:rPr>
                <w:szCs w:val="24"/>
              </w:rPr>
              <w:t xml:space="preserve">expenditure or expense transactions </w:t>
            </w:r>
            <w:r>
              <w:rPr>
                <w:szCs w:val="24"/>
              </w:rPr>
              <w:t xml:space="preserve">incurred </w:t>
            </w:r>
            <w:r w:rsidRPr="00B9669B">
              <w:rPr>
                <w:szCs w:val="24"/>
              </w:rPr>
              <w:t>before the next June 30</w:t>
            </w:r>
            <w:r>
              <w:rPr>
                <w:szCs w:val="24"/>
              </w:rPr>
              <w:t xml:space="preserve">th (i.e. </w:t>
            </w:r>
            <w:r w:rsidRPr="00B9669B">
              <w:rPr>
                <w:szCs w:val="24"/>
              </w:rPr>
              <w:t>one year</w:t>
            </w:r>
            <w:r>
              <w:rPr>
                <w:szCs w:val="24"/>
              </w:rPr>
              <w:t>)</w:t>
            </w:r>
            <w:r w:rsidRPr="00B9669B">
              <w:rPr>
                <w:szCs w:val="24"/>
              </w:rPr>
              <w:t xml:space="preserve">.  </w:t>
            </w:r>
          </w:p>
          <w:p w14:paraId="2F8D249D" w14:textId="040D84C6" w:rsidR="004955A0" w:rsidRPr="00B9669B" w:rsidRDefault="004955A0" w:rsidP="00F62861">
            <w:pPr>
              <w:keepLines/>
              <w:tabs>
                <w:tab w:val="left" w:pos="450"/>
                <w:tab w:val="left" w:pos="1440"/>
                <w:tab w:val="left" w:pos="2160"/>
                <w:tab w:val="left" w:pos="2880"/>
                <w:tab w:val="left" w:pos="3600"/>
                <w:tab w:val="left" w:pos="4320"/>
                <w:tab w:val="left" w:pos="5040"/>
                <w:tab w:val="left" w:pos="5760"/>
                <w:tab w:val="left" w:pos="6480"/>
                <w:tab w:val="left" w:pos="7200"/>
                <w:tab w:val="left" w:pos="7920"/>
                <w:tab w:val="left" w:pos="9072"/>
              </w:tabs>
              <w:spacing w:before="40"/>
              <w:ind w:left="1628" w:hanging="1354"/>
              <w:rPr>
                <w:szCs w:val="24"/>
              </w:rPr>
            </w:pPr>
            <w:r>
              <w:rPr>
                <w:szCs w:val="24"/>
              </w:rPr>
              <w:tab/>
              <w:t xml:space="preserve">Sec. _.20 </w:t>
            </w:r>
            <w:r>
              <w:rPr>
                <w:szCs w:val="24"/>
              </w:rPr>
              <w:tab/>
            </w:r>
            <w:r w:rsidR="00F62861">
              <w:rPr>
                <w:szCs w:val="24"/>
              </w:rPr>
              <w:t xml:space="preserve">Governmental </w:t>
            </w:r>
            <w:r>
              <w:rPr>
                <w:szCs w:val="24"/>
              </w:rPr>
              <w:t>Fund Balance</w:t>
            </w:r>
            <w:r w:rsidR="00F62861">
              <w:rPr>
                <w:szCs w:val="24"/>
              </w:rPr>
              <w:t xml:space="preserve"> Classification</w:t>
            </w:r>
            <w:r>
              <w:rPr>
                <w:szCs w:val="24"/>
              </w:rPr>
              <w:t xml:space="preserve"> – fund balance classifications as collected or expected to be collected </w:t>
            </w:r>
            <w:r w:rsidRPr="00B9669B">
              <w:t xml:space="preserve">within </w:t>
            </w:r>
            <w:r>
              <w:t>one month</w:t>
            </w:r>
            <w:r w:rsidR="00F62861">
              <w:t xml:space="preserve"> </w:t>
            </w:r>
            <w:r>
              <w:t xml:space="preserve">after year-end (from </w:t>
            </w:r>
            <w:r w:rsidRPr="00B9669B">
              <w:t xml:space="preserve">July 1 to July 31).  </w:t>
            </w:r>
          </w:p>
        </w:tc>
        <w:tc>
          <w:tcPr>
            <w:tcW w:w="1440" w:type="dxa"/>
          </w:tcPr>
          <w:p w14:paraId="54C26B5B" w14:textId="77777777" w:rsidR="004955A0" w:rsidRPr="002D7748" w:rsidRDefault="004955A0" w:rsidP="004955A0">
            <w:pPr>
              <w:spacing w:after="80"/>
            </w:pPr>
            <w:r w:rsidRPr="002D7748">
              <w:t>Section _.2</w:t>
            </w:r>
          </w:p>
          <w:p w14:paraId="419D7779" w14:textId="77777777" w:rsidR="004955A0" w:rsidRPr="002D7748" w:rsidRDefault="004955A0" w:rsidP="004955A0">
            <w:pPr>
              <w:spacing w:before="40" w:after="80"/>
            </w:pPr>
            <w:r w:rsidRPr="002D7748">
              <w:t>Section _.3</w:t>
            </w:r>
          </w:p>
          <w:p w14:paraId="50FD28A2" w14:textId="77777777" w:rsidR="004955A0" w:rsidRPr="002D7748" w:rsidRDefault="004955A0" w:rsidP="004955A0">
            <w:pPr>
              <w:spacing w:before="40" w:after="80"/>
            </w:pPr>
            <w:r w:rsidRPr="002D7748">
              <w:t>Section _.5</w:t>
            </w:r>
          </w:p>
          <w:p w14:paraId="1B0CBA3A" w14:textId="77777777" w:rsidR="004955A0" w:rsidRPr="002D7748" w:rsidRDefault="004955A0" w:rsidP="004955A0">
            <w:pPr>
              <w:spacing w:before="40" w:after="80"/>
            </w:pPr>
            <w:r w:rsidRPr="002D7748">
              <w:t>Section _.20</w:t>
            </w:r>
          </w:p>
        </w:tc>
      </w:tr>
      <w:tr w:rsidR="004955A0" w:rsidRPr="00B9669B" w14:paraId="47DCB302" w14:textId="77777777" w:rsidTr="004955A0">
        <w:trPr>
          <w:cantSplit/>
        </w:trPr>
        <w:tc>
          <w:tcPr>
            <w:tcW w:w="8478" w:type="dxa"/>
          </w:tcPr>
          <w:p w14:paraId="08BB7744" w14:textId="77777777" w:rsidR="004955A0" w:rsidRPr="00B9669B" w:rsidRDefault="004955A0" w:rsidP="004955A0">
            <w:pPr>
              <w:rPr>
                <w:szCs w:val="24"/>
                <w:u w:val="single"/>
              </w:rPr>
            </w:pPr>
            <w:r w:rsidRPr="00B9669B">
              <w:rPr>
                <w:szCs w:val="24"/>
                <w:u w:val="single"/>
              </w:rPr>
              <w:t>Available.</w:t>
            </w:r>
            <w:r w:rsidRPr="00B9669B">
              <w:rPr>
                <w:szCs w:val="24"/>
              </w:rPr>
              <w:t xml:space="preserve">  Resources received or expected to be received soon enough after year-end to pay liabilities of the current fiscal year.  See Availability Period for the State’s policy for “soon enough after”.</w:t>
            </w:r>
          </w:p>
        </w:tc>
        <w:tc>
          <w:tcPr>
            <w:tcW w:w="1440" w:type="dxa"/>
          </w:tcPr>
          <w:p w14:paraId="1ADB1E82" w14:textId="77777777" w:rsidR="004955A0" w:rsidRPr="002D7748" w:rsidRDefault="004955A0" w:rsidP="004955A0">
            <w:pPr>
              <w:spacing w:after="80"/>
            </w:pPr>
            <w:r w:rsidRPr="002D7748">
              <w:t>Section _.2</w:t>
            </w:r>
          </w:p>
          <w:p w14:paraId="632E1A8B" w14:textId="77777777" w:rsidR="004955A0" w:rsidRPr="002D7748" w:rsidRDefault="004955A0" w:rsidP="004955A0">
            <w:pPr>
              <w:spacing w:before="40" w:after="80"/>
            </w:pPr>
            <w:r w:rsidRPr="002D7748">
              <w:t>Section _.3</w:t>
            </w:r>
          </w:p>
          <w:p w14:paraId="7ABD44F9" w14:textId="77777777" w:rsidR="004955A0" w:rsidRPr="002D7748" w:rsidRDefault="004955A0" w:rsidP="004955A0">
            <w:pPr>
              <w:spacing w:before="40" w:after="80"/>
            </w:pPr>
            <w:r w:rsidRPr="002D7748">
              <w:t>Section _.5</w:t>
            </w:r>
          </w:p>
          <w:p w14:paraId="4A0BF5AC" w14:textId="77777777" w:rsidR="004955A0" w:rsidRPr="002D7748" w:rsidRDefault="004955A0" w:rsidP="004955A0">
            <w:pPr>
              <w:spacing w:before="40" w:after="80"/>
            </w:pPr>
            <w:r w:rsidRPr="002D7748">
              <w:t>Section _.20</w:t>
            </w:r>
          </w:p>
        </w:tc>
      </w:tr>
      <w:tr w:rsidR="004955A0" w:rsidRPr="00B9669B" w14:paraId="01482A27" w14:textId="77777777" w:rsidTr="004955A0">
        <w:trPr>
          <w:cantSplit/>
        </w:trPr>
        <w:tc>
          <w:tcPr>
            <w:tcW w:w="8478" w:type="dxa"/>
          </w:tcPr>
          <w:p w14:paraId="78CC204D" w14:textId="77777777" w:rsidR="004955A0" w:rsidRPr="00B9669B" w:rsidRDefault="004955A0" w:rsidP="004955A0">
            <w:r w:rsidRPr="00B9669B">
              <w:rPr>
                <w:u w:val="single"/>
              </w:rPr>
              <w:t>Average Cost</w:t>
            </w:r>
            <w:r w:rsidRPr="00B9669B">
              <w:t xml:space="preserve">.  An inventory valuation method utilizing a mathematical average of unit costs over the period of acquisition of the inventory items held on the valuation date.  Types acceptable include moving-average and weighted-average.  This is an acceptable method of valuing inventory items that some computerized inventory systems use.  </w:t>
            </w:r>
          </w:p>
        </w:tc>
        <w:tc>
          <w:tcPr>
            <w:tcW w:w="1440" w:type="dxa"/>
          </w:tcPr>
          <w:p w14:paraId="4A001C3D" w14:textId="77777777" w:rsidR="004955A0" w:rsidRPr="002D7748" w:rsidRDefault="004955A0" w:rsidP="004955A0">
            <w:pPr>
              <w:spacing w:after="80"/>
            </w:pPr>
            <w:r w:rsidRPr="002D7748">
              <w:t>Section _.6</w:t>
            </w:r>
          </w:p>
        </w:tc>
      </w:tr>
      <w:tr w:rsidR="004955A0" w:rsidRPr="00B9669B" w14:paraId="61FEB978" w14:textId="77777777" w:rsidTr="004955A0">
        <w:trPr>
          <w:cantSplit/>
        </w:trPr>
        <w:tc>
          <w:tcPr>
            <w:tcW w:w="8478" w:type="dxa"/>
          </w:tcPr>
          <w:p w14:paraId="4885D36A" w14:textId="77777777" w:rsidR="004955A0" w:rsidRPr="00B9669B" w:rsidRDefault="004955A0" w:rsidP="004955A0">
            <w:pPr>
              <w:keepLines/>
            </w:pPr>
            <w:r w:rsidRPr="00B9669B">
              <w:rPr>
                <w:u w:val="single"/>
              </w:rPr>
              <w:t>Bargain Purchase Option</w:t>
            </w:r>
            <w:r w:rsidRPr="00B9669B">
              <w:t>.  A lease agreement provision allowing the lessee, at his option, to purchase the leased property for a price that is significantly lower (approximates nothing) than the expected fair value of the property at the date the option becomes exercisable that exercise of the option appears to be reasonably assured.</w:t>
            </w:r>
          </w:p>
        </w:tc>
        <w:tc>
          <w:tcPr>
            <w:tcW w:w="1440" w:type="dxa"/>
          </w:tcPr>
          <w:p w14:paraId="510C5AA8" w14:textId="77777777" w:rsidR="004955A0" w:rsidRPr="002D7748" w:rsidRDefault="004955A0" w:rsidP="004955A0">
            <w:pPr>
              <w:spacing w:after="80"/>
            </w:pPr>
            <w:r w:rsidRPr="002D7748">
              <w:t>Section _.9</w:t>
            </w:r>
          </w:p>
        </w:tc>
      </w:tr>
      <w:tr w:rsidR="004955A0" w:rsidRPr="00B9669B" w14:paraId="2EC49194" w14:textId="77777777" w:rsidTr="004955A0">
        <w:trPr>
          <w:cantSplit/>
        </w:trPr>
        <w:tc>
          <w:tcPr>
            <w:tcW w:w="8478" w:type="dxa"/>
          </w:tcPr>
          <w:p w14:paraId="041E13A7" w14:textId="77777777" w:rsidR="004955A0" w:rsidRPr="00B9669B" w:rsidRDefault="004955A0" w:rsidP="004955A0">
            <w:r w:rsidRPr="00B9669B">
              <w:rPr>
                <w:u w:val="single"/>
              </w:rPr>
              <w:t>Bargain Renewal Option</w:t>
            </w:r>
            <w:r w:rsidRPr="00B9669B">
              <w:t>.  A lease agreement provision allowing the lessee, at his option, to renew the lease for a rent sufficiently lower than the fair rental of the property at the date the option becomes exercisable that exercise of the option appears to be reasonably assured.</w:t>
            </w:r>
          </w:p>
        </w:tc>
        <w:tc>
          <w:tcPr>
            <w:tcW w:w="1440" w:type="dxa"/>
          </w:tcPr>
          <w:p w14:paraId="10E4A618" w14:textId="77777777" w:rsidR="004955A0" w:rsidRPr="002D7748" w:rsidRDefault="004955A0" w:rsidP="004955A0">
            <w:pPr>
              <w:spacing w:after="80"/>
            </w:pPr>
            <w:r w:rsidRPr="002D7748">
              <w:t>Section _.9</w:t>
            </w:r>
          </w:p>
        </w:tc>
      </w:tr>
      <w:tr w:rsidR="004955A0" w:rsidRPr="00B9669B" w14:paraId="7DDF9015" w14:textId="77777777" w:rsidTr="004955A0">
        <w:trPr>
          <w:cantSplit/>
        </w:trPr>
        <w:tc>
          <w:tcPr>
            <w:tcW w:w="8478" w:type="dxa"/>
          </w:tcPr>
          <w:p w14:paraId="4611B0B5" w14:textId="77777777" w:rsidR="004955A0" w:rsidRPr="00B9669B" w:rsidRDefault="004955A0" w:rsidP="004955A0">
            <w:pPr>
              <w:rPr>
                <w:szCs w:val="24"/>
              </w:rPr>
            </w:pPr>
            <w:r w:rsidRPr="00B9669B">
              <w:rPr>
                <w:szCs w:val="24"/>
                <w:u w:val="single"/>
              </w:rPr>
              <w:t>Basis of Accounting.</w:t>
            </w:r>
            <w:r w:rsidRPr="00B9669B">
              <w:rPr>
                <w:szCs w:val="24"/>
              </w:rPr>
              <w:t xml:space="preserve">  Determination of when the effects of transactions or events are recognized (i.e., recorded in the accounts and reported in financial reports).  </w:t>
            </w:r>
          </w:p>
        </w:tc>
        <w:tc>
          <w:tcPr>
            <w:tcW w:w="1440" w:type="dxa"/>
          </w:tcPr>
          <w:p w14:paraId="2FB4F6B5" w14:textId="77777777" w:rsidR="004955A0" w:rsidRPr="002D7748" w:rsidRDefault="004955A0" w:rsidP="004955A0">
            <w:pPr>
              <w:spacing w:after="80"/>
            </w:pPr>
            <w:r w:rsidRPr="002D7748">
              <w:t>Section _.4</w:t>
            </w:r>
          </w:p>
          <w:p w14:paraId="4C694742" w14:textId="77777777" w:rsidR="004955A0" w:rsidRPr="002D7748" w:rsidRDefault="004955A0" w:rsidP="004955A0">
            <w:pPr>
              <w:spacing w:before="40" w:after="80"/>
            </w:pPr>
            <w:r w:rsidRPr="002D7748">
              <w:t>Section _.5</w:t>
            </w:r>
          </w:p>
        </w:tc>
      </w:tr>
      <w:tr w:rsidR="004955A0" w:rsidRPr="00B9669B" w14:paraId="3E9E7339" w14:textId="77777777" w:rsidTr="004955A0">
        <w:trPr>
          <w:cantSplit/>
        </w:trPr>
        <w:tc>
          <w:tcPr>
            <w:tcW w:w="8478" w:type="dxa"/>
          </w:tcPr>
          <w:p w14:paraId="04A75F0F"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9669B">
              <w:rPr>
                <w:szCs w:val="24"/>
                <w:u w:val="single"/>
              </w:rPr>
              <w:lastRenderedPageBreak/>
              <w:t>Book Balance</w:t>
            </w:r>
            <w:r w:rsidRPr="00B9669B">
              <w:rPr>
                <w:szCs w:val="24"/>
              </w:rPr>
              <w:t>.  The book balance of a bank account is the balance on your accounting records or in your checkbook on June 30.  Your agency should reconcile the book balance with the statement the bank provides.  For composite reservoir bank accounts, the composite bank balance per the State Treasurer is a bank balance, not a book balance.</w:t>
            </w:r>
          </w:p>
        </w:tc>
        <w:tc>
          <w:tcPr>
            <w:tcW w:w="1440" w:type="dxa"/>
          </w:tcPr>
          <w:p w14:paraId="23F66571" w14:textId="77777777" w:rsidR="004955A0" w:rsidRPr="002D7748" w:rsidRDefault="004955A0" w:rsidP="004955A0">
            <w:pPr>
              <w:spacing w:after="80"/>
            </w:pPr>
            <w:r w:rsidRPr="002D7748">
              <w:t>Section _.1</w:t>
            </w:r>
          </w:p>
        </w:tc>
      </w:tr>
      <w:tr w:rsidR="004955A0" w:rsidRPr="00B9669B" w14:paraId="5FE3DB01" w14:textId="77777777" w:rsidTr="004955A0">
        <w:trPr>
          <w:cantSplit/>
        </w:trPr>
        <w:tc>
          <w:tcPr>
            <w:tcW w:w="8478" w:type="dxa"/>
          </w:tcPr>
          <w:p w14:paraId="5FB71D02" w14:textId="77777777"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Book Value</w:t>
            </w:r>
            <w:r w:rsidRPr="00B9669B">
              <w:rPr>
                <w:szCs w:val="24"/>
              </w:rPr>
              <w:t xml:space="preserve">.  Book value equals the historical cost of the asset purchased or constructed or the fair value at the date of donation if donated.  </w:t>
            </w:r>
            <w:r w:rsidRPr="00B9669B">
              <w:rPr>
                <w:i/>
                <w:iCs/>
                <w:szCs w:val="24"/>
              </w:rPr>
              <w:t>Net</w:t>
            </w:r>
            <w:r w:rsidRPr="00B9669B">
              <w:rPr>
                <w:szCs w:val="24"/>
              </w:rPr>
              <w:t xml:space="preserve"> book value is book value less accumulated depreciation.</w:t>
            </w:r>
          </w:p>
        </w:tc>
        <w:tc>
          <w:tcPr>
            <w:tcW w:w="1440" w:type="dxa"/>
          </w:tcPr>
          <w:p w14:paraId="0EE0C4A0" w14:textId="77777777" w:rsidR="004955A0" w:rsidRPr="002D7748" w:rsidRDefault="004955A0" w:rsidP="004955A0">
            <w:pPr>
              <w:spacing w:after="80"/>
            </w:pPr>
            <w:r w:rsidRPr="002D7748">
              <w:t>Section _.8</w:t>
            </w:r>
          </w:p>
        </w:tc>
      </w:tr>
      <w:tr w:rsidR="004955A0" w:rsidRPr="00B9669B" w14:paraId="459361C4" w14:textId="77777777" w:rsidTr="004955A0">
        <w:trPr>
          <w:cantSplit/>
        </w:trPr>
        <w:tc>
          <w:tcPr>
            <w:tcW w:w="8478" w:type="dxa"/>
          </w:tcPr>
          <w:p w14:paraId="4355ADFF" w14:textId="77777777" w:rsidR="004955A0" w:rsidRPr="00B9669B" w:rsidRDefault="004955A0" w:rsidP="004955A0">
            <w:pPr>
              <w:rPr>
                <w:szCs w:val="24"/>
              </w:rPr>
            </w:pPr>
            <w:r w:rsidRPr="00B9669B">
              <w:rPr>
                <w:szCs w:val="24"/>
                <w:u w:val="single"/>
              </w:rPr>
              <w:t>Breach of Contract</w:t>
            </w:r>
            <w:r w:rsidRPr="00B9669B">
              <w:rPr>
                <w:szCs w:val="24"/>
              </w:rPr>
              <w:t xml:space="preserve">.  The breaking of a legally binding contract.  A contract may be either oral or written but must include the following elements: competent parties, consideration, and offer and acceptance.  </w:t>
            </w:r>
          </w:p>
        </w:tc>
        <w:tc>
          <w:tcPr>
            <w:tcW w:w="1440" w:type="dxa"/>
          </w:tcPr>
          <w:p w14:paraId="4900FA69" w14:textId="77777777" w:rsidR="004955A0" w:rsidRPr="002D7748" w:rsidRDefault="004955A0" w:rsidP="004955A0">
            <w:pPr>
              <w:spacing w:after="80"/>
              <w:rPr>
                <w:szCs w:val="24"/>
              </w:rPr>
            </w:pPr>
            <w:r w:rsidRPr="002D7748">
              <w:t>Section _.13</w:t>
            </w:r>
          </w:p>
        </w:tc>
      </w:tr>
      <w:tr w:rsidR="004955A0" w:rsidRPr="00B9669B" w14:paraId="53F948B0" w14:textId="77777777" w:rsidTr="004955A0">
        <w:trPr>
          <w:cantSplit/>
        </w:trPr>
        <w:tc>
          <w:tcPr>
            <w:tcW w:w="8478" w:type="dxa"/>
          </w:tcPr>
          <w:p w14:paraId="421A6AF4" w14:textId="77777777" w:rsidR="004955A0" w:rsidRPr="001466FC" w:rsidRDefault="004955A0" w:rsidP="004955A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1466FC">
              <w:rPr>
                <w:szCs w:val="24"/>
                <w:u w:val="single"/>
              </w:rPr>
              <w:t>Building Improvements</w:t>
            </w:r>
            <w:r w:rsidRPr="001466FC">
              <w:rPr>
                <w:szCs w:val="24"/>
              </w:rPr>
              <w:t xml:space="preserve">.  Include additions or renovations to existing buildings after the acquisition of the building.  Qualification of transactions requires any </w:t>
            </w:r>
            <w:r w:rsidRPr="001466FC">
              <w:rPr>
                <w:i/>
                <w:iCs/>
                <w:szCs w:val="24"/>
              </w:rPr>
              <w:t>one</w:t>
            </w:r>
            <w:r w:rsidRPr="001466FC">
              <w:rPr>
                <w:szCs w:val="24"/>
              </w:rPr>
              <w:t xml:space="preserve"> of the following three criteria:</w:t>
            </w:r>
          </w:p>
          <w:p w14:paraId="0A85E8D0" w14:textId="77777777" w:rsidR="004955A0" w:rsidRPr="001466FC" w:rsidRDefault="004955A0" w:rsidP="004955A0">
            <w:pPr>
              <w:pStyle w:val="ListParagraph"/>
              <w:keepNext/>
              <w:keepLines/>
              <w:widowControl w:val="0"/>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0"/>
              <w:rPr>
                <w:szCs w:val="24"/>
              </w:rPr>
            </w:pPr>
            <w:r w:rsidRPr="001466FC">
              <w:rPr>
                <w:szCs w:val="24"/>
              </w:rPr>
              <w:t>Adds square footage to the existing building.</w:t>
            </w:r>
          </w:p>
          <w:p w14:paraId="4E4122B1" w14:textId="77777777" w:rsidR="004955A0" w:rsidRPr="001466FC" w:rsidRDefault="004955A0" w:rsidP="004955A0">
            <w:pPr>
              <w:pStyle w:val="ListParagraph"/>
              <w:keepNext/>
              <w:keepLines/>
              <w:widowControl w:val="0"/>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Pr>
                <w:szCs w:val="24"/>
              </w:rPr>
              <w:t>P</w:t>
            </w:r>
            <w:r w:rsidRPr="001466FC">
              <w:rPr>
                <w:szCs w:val="24"/>
              </w:rPr>
              <w:t>repares an existing building for a new use</w:t>
            </w:r>
            <w:r>
              <w:rPr>
                <w:szCs w:val="24"/>
              </w:rPr>
              <w:t xml:space="preserve"> through renovation</w:t>
            </w:r>
            <w:r w:rsidRPr="001466FC">
              <w:rPr>
                <w:szCs w:val="24"/>
              </w:rPr>
              <w:t>.</w:t>
            </w:r>
          </w:p>
          <w:p w14:paraId="33DCC3CE" w14:textId="77777777" w:rsidR="004955A0" w:rsidRDefault="004955A0" w:rsidP="004955A0">
            <w:pPr>
              <w:pStyle w:val="ListParagraph"/>
              <w:keepNext/>
              <w:keepLines/>
              <w:widowControl w:val="0"/>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1466FC">
              <w:rPr>
                <w:szCs w:val="24"/>
              </w:rPr>
              <w:t>Extends the useful life of the existing building.</w:t>
            </w:r>
          </w:p>
          <w:p w14:paraId="37509811" w14:textId="75DD5B7B" w:rsidR="004955A0" w:rsidRPr="001466FC" w:rsidRDefault="004955A0" w:rsidP="004955A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0"/>
              <w:rPr>
                <w:szCs w:val="24"/>
              </w:rPr>
            </w:pPr>
            <w:r w:rsidRPr="001466FC">
              <w:rPr>
                <w:szCs w:val="24"/>
              </w:rPr>
              <w:t xml:space="preserve">Ordinary repairs and maintenance, such as </w:t>
            </w:r>
            <w:r w:rsidR="00161C07">
              <w:rPr>
                <w:szCs w:val="24"/>
              </w:rPr>
              <w:t>roof and HVAC system replacements</w:t>
            </w:r>
            <w:r w:rsidRPr="001466FC">
              <w:rPr>
                <w:szCs w:val="24"/>
              </w:rPr>
              <w:t xml:space="preserve">, are not building improvements, even </w:t>
            </w:r>
            <w:r w:rsidR="00161C07">
              <w:rPr>
                <w:szCs w:val="24"/>
              </w:rPr>
              <w:t>if they</w:t>
            </w:r>
            <w:r w:rsidRPr="001466FC">
              <w:rPr>
                <w:szCs w:val="24"/>
              </w:rPr>
              <w:t xml:space="preserve"> cost a significant amount.  Extending the useful life of an existing building requires specific improvements in response to a change in the use or contents of the building.</w:t>
            </w:r>
            <w:r w:rsidR="00FA0EF1">
              <w:rPr>
                <w:szCs w:val="24"/>
              </w:rPr>
              <w:t xml:space="preserve"> </w:t>
            </w:r>
            <w:r w:rsidRPr="001466FC">
              <w:rPr>
                <w:szCs w:val="24"/>
              </w:rPr>
              <w:t xml:space="preserve">Completing a renovation required by deferred maintenance does not </w:t>
            </w:r>
            <w:r w:rsidR="00FA0EF1">
              <w:rPr>
                <w:szCs w:val="24"/>
              </w:rPr>
              <w:t xml:space="preserve">normally </w:t>
            </w:r>
            <w:r w:rsidRPr="001466FC">
              <w:rPr>
                <w:szCs w:val="24"/>
              </w:rPr>
              <w:t>constitute an extension of the useful life.</w:t>
            </w:r>
            <w:r w:rsidR="00FA0EF1">
              <w:rPr>
                <w:szCs w:val="24"/>
              </w:rPr>
              <w:t xml:space="preserve"> However, if</w:t>
            </w:r>
            <w:r w:rsidR="00FA0EF1">
              <w:t xml:space="preserve"> a building is fully depreciated or close to being fully depreciated, it may be acceptable to capitalize </w:t>
            </w:r>
            <w:r w:rsidR="00FA0EF1">
              <w:t>a renovation that would normally be classified as an ordinary repair and maintenance</w:t>
            </w:r>
            <w:r w:rsidR="00FA0EF1">
              <w:t xml:space="preserve">. The age of the building and how many years remain in the useful life assigned to the building must be considered when determining if a project will extend the building’s useful life.  </w:t>
            </w:r>
          </w:p>
          <w:p w14:paraId="29E6A309" w14:textId="5F22B39E" w:rsidR="004955A0" w:rsidRPr="001466FC" w:rsidRDefault="004955A0" w:rsidP="004955A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80"/>
              <w:rPr>
                <w:szCs w:val="24"/>
              </w:rPr>
            </w:pPr>
            <w:r w:rsidRPr="00B9669B">
              <w:rPr>
                <w:szCs w:val="24"/>
              </w:rPr>
              <w:t>When a building is improved, the improvement should be capitalized as a separate asset from the original building.</w:t>
            </w:r>
            <w:r w:rsidR="00FA0EF1">
              <w:rPr>
                <w:szCs w:val="24"/>
              </w:rPr>
              <w:t xml:space="preserve"> </w:t>
            </w:r>
            <w:r w:rsidRPr="00B9669B">
              <w:rPr>
                <w:szCs w:val="24"/>
              </w:rPr>
              <w:t>Th</w:t>
            </w:r>
            <w:r>
              <w:rPr>
                <w:szCs w:val="24"/>
              </w:rPr>
              <w:t xml:space="preserve">e building improvement </w:t>
            </w:r>
            <w:r w:rsidRPr="00B9669B">
              <w:rPr>
                <w:szCs w:val="24"/>
              </w:rPr>
              <w:t>useful life may or may not be the same as the original building’s useful life.</w:t>
            </w:r>
          </w:p>
        </w:tc>
        <w:tc>
          <w:tcPr>
            <w:tcW w:w="1440" w:type="dxa"/>
          </w:tcPr>
          <w:p w14:paraId="10096877" w14:textId="77777777" w:rsidR="004955A0" w:rsidRPr="002D7748" w:rsidRDefault="004955A0" w:rsidP="004955A0">
            <w:pPr>
              <w:spacing w:after="80"/>
            </w:pPr>
            <w:r w:rsidRPr="002D7748">
              <w:t>Section _.8</w:t>
            </w:r>
          </w:p>
        </w:tc>
      </w:tr>
      <w:tr w:rsidR="004955A0" w:rsidRPr="00B9669B" w14:paraId="6162B170" w14:textId="77777777" w:rsidTr="004955A0">
        <w:trPr>
          <w:cantSplit/>
        </w:trPr>
        <w:tc>
          <w:tcPr>
            <w:tcW w:w="8478" w:type="dxa"/>
          </w:tcPr>
          <w:p w14:paraId="1D666F44" w14:textId="77777777" w:rsidR="004955A0" w:rsidRPr="00B9669B" w:rsidRDefault="004955A0" w:rsidP="004955A0">
            <w:pPr>
              <w:rPr>
                <w:szCs w:val="24"/>
              </w:rPr>
            </w:pPr>
            <w:r w:rsidRPr="00B9669B">
              <w:rPr>
                <w:szCs w:val="24"/>
                <w:u w:val="single"/>
              </w:rPr>
              <w:t>Buildings.</w:t>
            </w:r>
            <w:r w:rsidRPr="00B9669B">
              <w:rPr>
                <w:szCs w:val="24"/>
              </w:rPr>
              <w:t xml:space="preserve">  Permanent structures housing persons or personal property.</w:t>
            </w:r>
          </w:p>
        </w:tc>
        <w:tc>
          <w:tcPr>
            <w:tcW w:w="1440" w:type="dxa"/>
          </w:tcPr>
          <w:p w14:paraId="7DC749AF" w14:textId="77777777" w:rsidR="004955A0" w:rsidRPr="002D7748" w:rsidRDefault="004955A0" w:rsidP="004955A0">
            <w:pPr>
              <w:spacing w:after="80"/>
            </w:pPr>
            <w:r w:rsidRPr="002D7748">
              <w:t>Section _.8</w:t>
            </w:r>
          </w:p>
        </w:tc>
      </w:tr>
      <w:tr w:rsidR="004955A0" w:rsidRPr="00B9669B" w14:paraId="1762134A" w14:textId="77777777" w:rsidTr="004955A0">
        <w:trPr>
          <w:cantSplit/>
        </w:trPr>
        <w:tc>
          <w:tcPr>
            <w:tcW w:w="8478" w:type="dxa"/>
          </w:tcPr>
          <w:p w14:paraId="223E0110" w14:textId="77777777" w:rsidR="004955A0" w:rsidRPr="00B9669B" w:rsidRDefault="004955A0" w:rsidP="004955A0">
            <w:r w:rsidRPr="00B9669B">
              <w:rPr>
                <w:u w:val="single"/>
              </w:rPr>
              <w:t>Cancelable Lease</w:t>
            </w:r>
            <w:r w:rsidRPr="00B9669B">
              <w:t xml:space="preserve">.  A lease agreement which includes specific language permitting the lessee to cancel the agreement for virtually any reason after providing the lessor adequate notice. </w:t>
            </w:r>
            <w:r>
              <w:t xml:space="preserve"> Refer to the definition of Noncancelable Lease in this glossary for specific restrictive clauses which qualifies the lease as noncancelable.</w:t>
            </w:r>
            <w:r w:rsidRPr="00B9669B">
              <w:t xml:space="preserve"> </w:t>
            </w:r>
          </w:p>
        </w:tc>
        <w:tc>
          <w:tcPr>
            <w:tcW w:w="1440" w:type="dxa"/>
          </w:tcPr>
          <w:p w14:paraId="3FBB8174" w14:textId="77777777" w:rsidR="004955A0" w:rsidRPr="002D7748" w:rsidRDefault="004955A0" w:rsidP="004955A0">
            <w:pPr>
              <w:spacing w:after="80"/>
            </w:pPr>
            <w:r w:rsidRPr="002D7748">
              <w:t>Section _.9</w:t>
            </w:r>
          </w:p>
        </w:tc>
      </w:tr>
      <w:tr w:rsidR="004955A0" w:rsidRPr="00B9669B" w14:paraId="5C97C092" w14:textId="77777777" w:rsidTr="004955A0">
        <w:trPr>
          <w:cantSplit/>
        </w:trPr>
        <w:tc>
          <w:tcPr>
            <w:tcW w:w="8478" w:type="dxa"/>
          </w:tcPr>
          <w:p w14:paraId="288AB0B0" w14:textId="6857722E" w:rsidR="004955A0" w:rsidRPr="00B9669B" w:rsidRDefault="004955A0" w:rsidP="004955A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sidRPr="00B9669B">
              <w:rPr>
                <w:szCs w:val="24"/>
                <w:u w:val="single"/>
              </w:rPr>
              <w:lastRenderedPageBreak/>
              <w:t>Capital Assets</w:t>
            </w:r>
            <w:r w:rsidRPr="00B9669B">
              <w:rPr>
                <w:szCs w:val="24"/>
              </w:rPr>
              <w:t xml:space="preserve">.  </w:t>
            </w:r>
            <w:r w:rsidRPr="00B9669B">
              <w:t>Assets that meet the definiti</w:t>
            </w:r>
            <w:r>
              <w:t>on of the asset classifications</w:t>
            </w:r>
            <w:r w:rsidRPr="00B9669B">
              <w:t xml:space="preserve">, the capitalization policy dollar threshold, and the capitalization policy useful life.  </w:t>
            </w:r>
            <w:r w:rsidRPr="00B9669B">
              <w:rPr>
                <w:szCs w:val="24"/>
              </w:rPr>
              <w:t xml:space="preserve">Capital assets are </w:t>
            </w:r>
            <w:r>
              <w:rPr>
                <w:szCs w:val="24"/>
              </w:rPr>
              <w:t xml:space="preserve">classified </w:t>
            </w:r>
            <w:r w:rsidRPr="00B9669B">
              <w:rPr>
                <w:szCs w:val="24"/>
              </w:rPr>
              <w:t xml:space="preserve">as land, improvements to land, buildings, building improvements, vehicles, machinery, equipment, works of art and historical treasures, infrastructure, and all other tangible or intangible assets that are used in operations and that have initial useful lives </w:t>
            </w:r>
            <w:r w:rsidR="00000BF2">
              <w:rPr>
                <w:szCs w:val="24"/>
              </w:rPr>
              <w:t>of at least</w:t>
            </w:r>
            <w:r w:rsidRPr="00B9669B">
              <w:rPr>
                <w:szCs w:val="24"/>
              </w:rPr>
              <w:t xml:space="preserve"> </w:t>
            </w:r>
            <w:r>
              <w:rPr>
                <w:szCs w:val="24"/>
              </w:rPr>
              <w:t>2</w:t>
            </w:r>
            <w:r w:rsidRPr="00B9669B">
              <w:rPr>
                <w:szCs w:val="24"/>
              </w:rPr>
              <w:t xml:space="preserve"> </w:t>
            </w:r>
            <w:r>
              <w:rPr>
                <w:szCs w:val="24"/>
              </w:rPr>
              <w:t>years</w:t>
            </w:r>
            <w:r w:rsidRPr="00B9669B">
              <w:rPr>
                <w:szCs w:val="24"/>
              </w:rPr>
              <w:t xml:space="preserve"> (GASB Codification Section 1400.103).  Capital assets also include assets purchased with Federal funds in which the Federal government retains a reversionary interest.  </w:t>
            </w:r>
            <w:proofErr w:type="gramStart"/>
            <w:r w:rsidRPr="00B9669B">
              <w:rPr>
                <w:szCs w:val="24"/>
              </w:rPr>
              <w:t>In order to</w:t>
            </w:r>
            <w:proofErr w:type="gramEnd"/>
            <w:r w:rsidRPr="00B9669B">
              <w:rPr>
                <w:szCs w:val="24"/>
              </w:rPr>
              <w:t xml:space="preserve"> be considered capital assets, the assets must meet the established capitalization criteria </w:t>
            </w:r>
            <w:r w:rsidRPr="00B9669B">
              <w:t xml:space="preserve">(see definition </w:t>
            </w:r>
            <w:r>
              <w:t>provided in this glossary</w:t>
            </w:r>
            <w:r w:rsidR="009E0161">
              <w:rPr>
                <w:szCs w:val="24"/>
              </w:rPr>
              <w:t xml:space="preserve"> and</w:t>
            </w:r>
            <w:r w:rsidRPr="00B9669B">
              <w:rPr>
                <w:szCs w:val="24"/>
              </w:rPr>
              <w:t xml:space="preserve"> criteria</w:t>
            </w:r>
            <w:r w:rsidR="00DE6C56">
              <w:rPr>
                <w:szCs w:val="24"/>
              </w:rPr>
              <w:t xml:space="preserve"> </w:t>
            </w:r>
            <w:r w:rsidRPr="00B9669B">
              <w:rPr>
                <w:szCs w:val="24"/>
              </w:rPr>
              <w:t xml:space="preserve">included </w:t>
            </w:r>
            <w:r w:rsidR="0076110E">
              <w:rPr>
                <w:szCs w:val="24"/>
              </w:rPr>
              <w:t>in</w:t>
            </w:r>
            <w:r w:rsidR="0076110E" w:rsidRPr="00B9669B">
              <w:rPr>
                <w:szCs w:val="24"/>
              </w:rPr>
              <w:t xml:space="preserve"> </w:t>
            </w:r>
            <w:r w:rsidRPr="00B9669B">
              <w:rPr>
                <w:szCs w:val="24"/>
              </w:rPr>
              <w:t xml:space="preserve">Exhibit 3.8(A)).  </w:t>
            </w:r>
          </w:p>
        </w:tc>
        <w:tc>
          <w:tcPr>
            <w:tcW w:w="1440" w:type="dxa"/>
          </w:tcPr>
          <w:p w14:paraId="6BA90941" w14:textId="77777777" w:rsidR="004955A0" w:rsidRDefault="004955A0" w:rsidP="004955A0">
            <w:pPr>
              <w:spacing w:after="80"/>
            </w:pPr>
            <w:r w:rsidRPr="002D7748">
              <w:t xml:space="preserve">General </w:t>
            </w:r>
          </w:p>
          <w:p w14:paraId="4ED50117" w14:textId="77777777" w:rsidR="004955A0" w:rsidRPr="002D7748" w:rsidRDefault="004955A0" w:rsidP="004955A0">
            <w:pPr>
              <w:spacing w:before="40" w:after="80"/>
            </w:pPr>
            <w:r w:rsidRPr="002D7748">
              <w:t>Section _.8</w:t>
            </w:r>
          </w:p>
        </w:tc>
      </w:tr>
      <w:tr w:rsidR="004955A0" w:rsidRPr="00B9669B" w14:paraId="728A58D6" w14:textId="77777777" w:rsidTr="004955A0">
        <w:trPr>
          <w:cantSplit/>
        </w:trPr>
        <w:tc>
          <w:tcPr>
            <w:tcW w:w="8478" w:type="dxa"/>
          </w:tcPr>
          <w:p w14:paraId="44C38C7C" w14:textId="77777777" w:rsidR="004955A0" w:rsidRPr="00B9669B" w:rsidRDefault="004955A0" w:rsidP="004955A0">
            <w:pPr>
              <w:spacing w:line="240" w:lineRule="exact"/>
              <w:rPr>
                <w:szCs w:val="24"/>
                <w:u w:val="single"/>
              </w:rPr>
            </w:pPr>
            <w:r w:rsidRPr="00B9669B">
              <w:rPr>
                <w:szCs w:val="24"/>
                <w:u w:val="single"/>
              </w:rPr>
              <w:t>Capital Contribution</w:t>
            </w:r>
            <w:r w:rsidRPr="00B9669B">
              <w:rPr>
                <w:szCs w:val="24"/>
              </w:rPr>
              <w:t xml:space="preserve">.  A contribution for which the </w:t>
            </w:r>
            <w:r w:rsidRPr="00B9669B">
              <w:rPr>
                <w:i/>
                <w:iCs/>
                <w:szCs w:val="24"/>
              </w:rPr>
              <w:t>contributor</w:t>
            </w:r>
            <w:r w:rsidRPr="00B9669B">
              <w:rPr>
                <w:szCs w:val="24"/>
              </w:rPr>
              <w:t xml:space="preserve"> restricts the use of the contribution to capital purposes </w:t>
            </w:r>
            <w:r w:rsidRPr="00B9669B">
              <w:t xml:space="preserve">(see definition </w:t>
            </w:r>
            <w:r>
              <w:t>provided in this glossary</w:t>
            </w:r>
            <w:r w:rsidRPr="00B9669B">
              <w:t>)</w:t>
            </w:r>
            <w:r w:rsidRPr="00B9669B">
              <w:rPr>
                <w:szCs w:val="24"/>
              </w:rPr>
              <w:t xml:space="preserve">.  </w:t>
            </w:r>
          </w:p>
        </w:tc>
        <w:tc>
          <w:tcPr>
            <w:tcW w:w="1440" w:type="dxa"/>
          </w:tcPr>
          <w:p w14:paraId="1CF15D05" w14:textId="77777777" w:rsidR="004955A0" w:rsidRPr="002D7748" w:rsidRDefault="004955A0" w:rsidP="004955A0">
            <w:pPr>
              <w:spacing w:after="80"/>
            </w:pPr>
            <w:r w:rsidRPr="002D7748">
              <w:t>Section _.3</w:t>
            </w:r>
          </w:p>
        </w:tc>
      </w:tr>
      <w:tr w:rsidR="004955A0" w:rsidRPr="00B9669B" w14:paraId="30623E31" w14:textId="77777777" w:rsidTr="004955A0">
        <w:trPr>
          <w:cantSplit/>
        </w:trPr>
        <w:tc>
          <w:tcPr>
            <w:tcW w:w="8478" w:type="dxa"/>
          </w:tcPr>
          <w:p w14:paraId="407F09A5" w14:textId="77777777" w:rsidR="004955A0" w:rsidRPr="00B9669B" w:rsidRDefault="004955A0" w:rsidP="004955A0">
            <w:pPr>
              <w:rPr>
                <w:szCs w:val="24"/>
              </w:rPr>
            </w:pPr>
            <w:r w:rsidRPr="00B9669B">
              <w:rPr>
                <w:szCs w:val="24"/>
                <w:u w:val="single"/>
              </w:rPr>
              <w:t>Capital Grant</w:t>
            </w:r>
            <w:r w:rsidRPr="00B9669B">
              <w:rPr>
                <w:szCs w:val="24"/>
              </w:rPr>
              <w:t xml:space="preserve">.  A grant agreement or award that restricts the use of the grant resources to capital purposes </w:t>
            </w:r>
            <w:r w:rsidRPr="00B9669B">
              <w:t xml:space="preserve">(see definition </w:t>
            </w:r>
            <w:r>
              <w:t>provided in this glossary</w:t>
            </w:r>
            <w:r w:rsidRPr="00B9669B">
              <w:t>)</w:t>
            </w:r>
            <w:r w:rsidRPr="00B9669B">
              <w:rPr>
                <w:szCs w:val="24"/>
              </w:rPr>
              <w:t xml:space="preserve">.  </w:t>
            </w:r>
          </w:p>
        </w:tc>
        <w:tc>
          <w:tcPr>
            <w:tcW w:w="1440" w:type="dxa"/>
          </w:tcPr>
          <w:p w14:paraId="64A1DB2D" w14:textId="77777777" w:rsidR="004955A0" w:rsidRPr="002D7748" w:rsidRDefault="004955A0" w:rsidP="004955A0">
            <w:pPr>
              <w:spacing w:after="80"/>
            </w:pPr>
            <w:r w:rsidRPr="002D7748">
              <w:t>Section _.3</w:t>
            </w:r>
          </w:p>
        </w:tc>
      </w:tr>
      <w:tr w:rsidR="004955A0" w:rsidRPr="00B9669B" w14:paraId="5B180B17" w14:textId="77777777" w:rsidTr="004955A0">
        <w:trPr>
          <w:cantSplit/>
        </w:trPr>
        <w:tc>
          <w:tcPr>
            <w:tcW w:w="8478" w:type="dxa"/>
          </w:tcPr>
          <w:p w14:paraId="0F1CE32C" w14:textId="77777777" w:rsidR="004955A0" w:rsidRPr="00B9669B" w:rsidRDefault="004955A0" w:rsidP="004955A0">
            <w:pPr>
              <w:rPr>
                <w:szCs w:val="24"/>
              </w:rPr>
            </w:pPr>
            <w:r w:rsidRPr="00B9669B">
              <w:rPr>
                <w:szCs w:val="24"/>
                <w:u w:val="single"/>
              </w:rPr>
              <w:t>Capital Purposes</w:t>
            </w:r>
            <w:r w:rsidRPr="00B9669B">
              <w:rPr>
                <w:szCs w:val="24"/>
              </w:rPr>
              <w:t xml:space="preserve">.  The acquisition, construction, or renovation of assets which meet the definition of an asset class.  If the capitalization criteria (See Section </w:t>
            </w:r>
            <w:r>
              <w:rPr>
                <w:szCs w:val="24"/>
              </w:rPr>
              <w:t>_</w:t>
            </w:r>
            <w:r w:rsidRPr="00B9669B">
              <w:rPr>
                <w:szCs w:val="24"/>
              </w:rPr>
              <w:t xml:space="preserve">.8) are not met, the purpose of the grant is unaffected. </w:t>
            </w:r>
            <w:r>
              <w:rPr>
                <w:szCs w:val="24"/>
              </w:rPr>
              <w:t xml:space="preserve"> </w:t>
            </w:r>
            <w:r w:rsidRPr="00B9669B">
              <w:rPr>
                <w:szCs w:val="24"/>
              </w:rPr>
              <w:t xml:space="preserve">If the restriction does not specify capital purposes, it </w:t>
            </w:r>
            <w:proofErr w:type="gramStart"/>
            <w:r w:rsidRPr="00B9669B">
              <w:rPr>
                <w:szCs w:val="24"/>
              </w:rPr>
              <w:t>is considered to be</w:t>
            </w:r>
            <w:proofErr w:type="gramEnd"/>
            <w:r w:rsidRPr="00B9669B">
              <w:rPr>
                <w:szCs w:val="24"/>
              </w:rPr>
              <w:t xml:space="preserve"> classified as operating even if it is used for capital purposes.</w:t>
            </w:r>
          </w:p>
        </w:tc>
        <w:tc>
          <w:tcPr>
            <w:tcW w:w="1440" w:type="dxa"/>
          </w:tcPr>
          <w:p w14:paraId="6243B8DE" w14:textId="77777777" w:rsidR="004955A0" w:rsidRPr="002D7748" w:rsidRDefault="004955A0" w:rsidP="004955A0">
            <w:pPr>
              <w:spacing w:after="80"/>
            </w:pPr>
            <w:r w:rsidRPr="002D7748">
              <w:t>Section _.3</w:t>
            </w:r>
          </w:p>
        </w:tc>
      </w:tr>
      <w:tr w:rsidR="004955A0" w:rsidRPr="00B9669B" w14:paraId="6637DBCD" w14:textId="77777777" w:rsidTr="004955A0">
        <w:trPr>
          <w:cantSplit/>
        </w:trPr>
        <w:tc>
          <w:tcPr>
            <w:tcW w:w="8478" w:type="dxa"/>
          </w:tcPr>
          <w:p w14:paraId="446E6784"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Capitalization Criteria</w:t>
            </w:r>
            <w:r w:rsidRPr="00B9669B">
              <w:rPr>
                <w:szCs w:val="24"/>
              </w:rPr>
              <w:t xml:space="preserve">.  The policies established by the State regarding the minimum useful life and minimum dollar value of capital assets (Exhibit 3.8(A)).  The policy is needed so that short-lived assets and those costing small amounts are </w:t>
            </w:r>
            <w:r w:rsidRPr="00B9669B">
              <w:rPr>
                <w:szCs w:val="24"/>
                <w:u w:val="single"/>
              </w:rPr>
              <w:t>not</w:t>
            </w:r>
            <w:r w:rsidRPr="00B9669B">
              <w:rPr>
                <w:szCs w:val="24"/>
              </w:rPr>
              <w:t xml:space="preserve"> recognized and reported as capital assets.  </w:t>
            </w:r>
          </w:p>
        </w:tc>
        <w:tc>
          <w:tcPr>
            <w:tcW w:w="1440" w:type="dxa"/>
          </w:tcPr>
          <w:p w14:paraId="5A861DF3" w14:textId="77777777" w:rsidR="004955A0" w:rsidRPr="002D7748" w:rsidRDefault="004955A0" w:rsidP="004955A0">
            <w:pPr>
              <w:spacing w:after="80"/>
            </w:pPr>
            <w:r w:rsidRPr="002D7748">
              <w:t>Section _.8</w:t>
            </w:r>
          </w:p>
        </w:tc>
      </w:tr>
      <w:tr w:rsidR="004955A0" w:rsidRPr="00B9669B" w14:paraId="1D4EBA84" w14:textId="77777777" w:rsidTr="004955A0">
        <w:trPr>
          <w:cantSplit/>
        </w:trPr>
        <w:tc>
          <w:tcPr>
            <w:tcW w:w="8478" w:type="dxa"/>
          </w:tcPr>
          <w:p w14:paraId="07F8303A" w14:textId="77777777" w:rsidR="004955A0" w:rsidRPr="00B9669B" w:rsidRDefault="004955A0" w:rsidP="004955A0">
            <w:pPr>
              <w:spacing w:before="100" w:after="100"/>
            </w:pPr>
            <w:r w:rsidRPr="00B9669B">
              <w:rPr>
                <w:u w:val="single"/>
              </w:rPr>
              <w:t>Cash Conduit</w:t>
            </w:r>
            <w:r w:rsidRPr="00B9669B">
              <w:t>.  A</w:t>
            </w:r>
            <w:r>
              <w:t xml:space="preserve">n organization or </w:t>
            </w:r>
            <w:r w:rsidRPr="00B9669B">
              <w:t xml:space="preserve">facility through which resources (in the form of cash payments) flows to another organization without administrative or direct financial involvement in the program being funded.  </w:t>
            </w:r>
          </w:p>
        </w:tc>
        <w:tc>
          <w:tcPr>
            <w:tcW w:w="1440" w:type="dxa"/>
          </w:tcPr>
          <w:p w14:paraId="575ED1FF" w14:textId="77777777" w:rsidR="004955A0" w:rsidRDefault="004955A0" w:rsidP="004955A0">
            <w:pPr>
              <w:spacing w:after="80"/>
            </w:pPr>
            <w:r w:rsidRPr="002D7748">
              <w:t>General</w:t>
            </w:r>
          </w:p>
          <w:p w14:paraId="6BAB14ED" w14:textId="77777777" w:rsidR="004955A0" w:rsidRPr="002D7748" w:rsidRDefault="004955A0" w:rsidP="004955A0">
            <w:pPr>
              <w:spacing w:before="40" w:after="80"/>
            </w:pPr>
            <w:r w:rsidRPr="002D7748">
              <w:t>Section _.3</w:t>
            </w:r>
          </w:p>
        </w:tc>
      </w:tr>
      <w:tr w:rsidR="004955A0" w:rsidRPr="00B9669B" w14:paraId="21C883C4" w14:textId="77777777" w:rsidTr="004955A0">
        <w:trPr>
          <w:cantSplit/>
        </w:trPr>
        <w:tc>
          <w:tcPr>
            <w:tcW w:w="8478" w:type="dxa"/>
          </w:tcPr>
          <w:p w14:paraId="70561B83" w14:textId="77777777" w:rsidR="004955A0"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Cs w:val="24"/>
              </w:rPr>
            </w:pPr>
            <w:r w:rsidRPr="00B9669B">
              <w:rPr>
                <w:szCs w:val="24"/>
                <w:u w:val="single"/>
              </w:rPr>
              <w:lastRenderedPageBreak/>
              <w:t>Cash</w:t>
            </w:r>
            <w:r w:rsidRPr="00B9669B">
              <w:rPr>
                <w:szCs w:val="24"/>
              </w:rPr>
              <w:t xml:space="preserve">.  </w:t>
            </w:r>
            <w:r w:rsidRPr="00B9669B">
              <w:t xml:space="preserve">For reporting purposes, </w:t>
            </w:r>
            <w:r>
              <w:t xml:space="preserve">cash </w:t>
            </w:r>
            <w:r w:rsidRPr="00B9669B">
              <w:t xml:space="preserve">includes cash on hand (petty cash and change funds), cash on deposit with financial institutions, and highly liquid investments with an original maturity from date of purchase of 90 days or less.  </w:t>
            </w:r>
            <w:r>
              <w:tab/>
            </w:r>
            <w:r>
              <w:br/>
            </w:r>
            <w:r w:rsidRPr="00B9669B">
              <w:rPr>
                <w:szCs w:val="24"/>
              </w:rPr>
              <w:t>For purposes of th</w:t>
            </w:r>
            <w:r>
              <w:rPr>
                <w:szCs w:val="24"/>
              </w:rPr>
              <w:t xml:space="preserve">e Cash </w:t>
            </w:r>
            <w:r w:rsidRPr="00B9669B">
              <w:rPr>
                <w:szCs w:val="24"/>
              </w:rPr>
              <w:t>reporting package</w:t>
            </w:r>
            <w:r>
              <w:rPr>
                <w:szCs w:val="24"/>
              </w:rPr>
              <w:t xml:space="preserve"> (Section 3.1)</w:t>
            </w:r>
            <w:r w:rsidRPr="00B9669B">
              <w:rPr>
                <w:szCs w:val="24"/>
              </w:rPr>
              <w:t xml:space="preserve">, Cash </w:t>
            </w:r>
            <w:r w:rsidRPr="00B9669B">
              <w:rPr>
                <w:szCs w:val="24"/>
                <w:u w:val="single"/>
              </w:rPr>
              <w:t>includes</w:t>
            </w:r>
            <w:r w:rsidRPr="00B9669B">
              <w:rPr>
                <w:szCs w:val="24"/>
              </w:rPr>
              <w:t>:</w:t>
            </w:r>
          </w:p>
          <w:p w14:paraId="326A6E52" w14:textId="77777777" w:rsidR="004955A0"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08" w:hanging="540"/>
              <w:rPr>
                <w:szCs w:val="24"/>
              </w:rPr>
            </w:pPr>
            <w:r w:rsidRPr="00B9669B">
              <w:rPr>
                <w:szCs w:val="24"/>
              </w:rPr>
              <w:noBreakHyphen/>
            </w:r>
            <w:r w:rsidRPr="00B9669B">
              <w:rPr>
                <w:szCs w:val="24"/>
              </w:rPr>
              <w:noBreakHyphen/>
            </w:r>
            <w:r w:rsidRPr="00B9669B">
              <w:rPr>
                <w:szCs w:val="24"/>
              </w:rPr>
              <w:tab/>
              <w:t>Cash on hand (petty cash, for example).</w:t>
            </w:r>
          </w:p>
          <w:p w14:paraId="381711D6" w14:textId="77777777" w:rsidR="004955A0"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708" w:hanging="540"/>
              <w:rPr>
                <w:szCs w:val="24"/>
              </w:rPr>
            </w:pPr>
            <w:r w:rsidRPr="00B9669B">
              <w:rPr>
                <w:szCs w:val="24"/>
              </w:rPr>
              <w:noBreakHyphen/>
            </w:r>
            <w:r w:rsidRPr="00B9669B">
              <w:rPr>
                <w:szCs w:val="24"/>
              </w:rPr>
              <w:noBreakHyphen/>
            </w:r>
            <w:r w:rsidRPr="00B9669B">
              <w:rPr>
                <w:szCs w:val="24"/>
              </w:rPr>
              <w:tab/>
              <w:t>Deposits with financial institutions (checking account</w:t>
            </w:r>
            <w:r>
              <w:rPr>
                <w:szCs w:val="24"/>
              </w:rPr>
              <w:t>s,</w:t>
            </w:r>
            <w:r w:rsidRPr="00B9669B">
              <w:rPr>
                <w:szCs w:val="24"/>
              </w:rPr>
              <w:t xml:space="preserve"> composite reservoir account balances (</w:t>
            </w:r>
            <w:r>
              <w:rPr>
                <w:szCs w:val="24"/>
              </w:rPr>
              <w:t>S</w:t>
            </w:r>
            <w:r w:rsidRPr="00B9669B">
              <w:rPr>
                <w:szCs w:val="24"/>
              </w:rPr>
              <w:t xml:space="preserve">ee </w:t>
            </w:r>
            <w:r>
              <w:rPr>
                <w:szCs w:val="24"/>
              </w:rPr>
              <w:t xml:space="preserve">also </w:t>
            </w:r>
            <w:r w:rsidRPr="00B9669B">
              <w:rPr>
                <w:szCs w:val="24"/>
              </w:rPr>
              <w:t>the definition of Composite Reservoir Bank Accounts.)</w:t>
            </w:r>
            <w:r>
              <w:rPr>
                <w:szCs w:val="24"/>
              </w:rPr>
              <w:t>, savings accounts, and certificates of deposit</w:t>
            </w:r>
            <w:r w:rsidRPr="00B9669B">
              <w:rPr>
                <w:szCs w:val="24"/>
              </w:rPr>
              <w:t>, for example)</w:t>
            </w:r>
          </w:p>
          <w:p w14:paraId="6814149C"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0" w:hanging="547"/>
              <w:rPr>
                <w:szCs w:val="24"/>
              </w:rPr>
            </w:pPr>
            <w:r w:rsidRPr="00B9669B">
              <w:rPr>
                <w:szCs w:val="24"/>
              </w:rPr>
              <w:noBreakHyphen/>
            </w:r>
            <w:r w:rsidRPr="00B9669B">
              <w:rPr>
                <w:szCs w:val="24"/>
              </w:rPr>
              <w:noBreakHyphen/>
            </w:r>
            <w:r w:rsidRPr="00B9669B">
              <w:rPr>
                <w:szCs w:val="24"/>
              </w:rPr>
              <w:tab/>
              <w:t>Cash or deposits your agency holds in a trustee capacity or as an agent for others.</w:t>
            </w:r>
          </w:p>
        </w:tc>
        <w:tc>
          <w:tcPr>
            <w:tcW w:w="1440" w:type="dxa"/>
          </w:tcPr>
          <w:p w14:paraId="656784A7" w14:textId="77777777" w:rsidR="004955A0" w:rsidRDefault="004955A0" w:rsidP="004955A0">
            <w:pPr>
              <w:spacing w:after="80"/>
            </w:pPr>
            <w:r w:rsidRPr="002D7748">
              <w:t xml:space="preserve">General </w:t>
            </w:r>
          </w:p>
          <w:p w14:paraId="4F58EEA8" w14:textId="77777777" w:rsidR="004955A0" w:rsidRPr="002D7748" w:rsidRDefault="004955A0" w:rsidP="004955A0">
            <w:pPr>
              <w:spacing w:before="40" w:after="80"/>
            </w:pPr>
            <w:r w:rsidRPr="002D7748">
              <w:t>Section _.1</w:t>
            </w:r>
          </w:p>
        </w:tc>
      </w:tr>
      <w:tr w:rsidR="004955A0" w:rsidRPr="00B9669B" w14:paraId="346D5FB4" w14:textId="77777777" w:rsidTr="004955A0">
        <w:trPr>
          <w:cantSplit/>
        </w:trPr>
        <w:tc>
          <w:tcPr>
            <w:tcW w:w="8478" w:type="dxa"/>
          </w:tcPr>
          <w:p w14:paraId="2473BCCA" w14:textId="77777777" w:rsidR="004955A0" w:rsidRPr="00B9669B" w:rsidRDefault="004955A0" w:rsidP="004955A0">
            <w:pPr>
              <w:spacing w:before="100" w:after="100"/>
            </w:pPr>
            <w:r w:rsidRPr="00B9669B">
              <w:rPr>
                <w:u w:val="single"/>
              </w:rPr>
              <w:t>Claim</w:t>
            </w:r>
            <w:r w:rsidRPr="00B9669B">
              <w:t>.  An application for payment of damages or a policy benefit resulting from the occurrence of an event, such as the destruction of, or damage to, an asset.</w:t>
            </w:r>
          </w:p>
        </w:tc>
        <w:tc>
          <w:tcPr>
            <w:tcW w:w="1440" w:type="dxa"/>
          </w:tcPr>
          <w:p w14:paraId="071E48E9" w14:textId="77777777" w:rsidR="004955A0" w:rsidRDefault="004955A0" w:rsidP="004955A0">
            <w:pPr>
              <w:spacing w:after="80"/>
            </w:pPr>
            <w:r w:rsidRPr="002D7748">
              <w:t>General</w:t>
            </w:r>
          </w:p>
          <w:p w14:paraId="2FDFB69D" w14:textId="77777777" w:rsidR="004955A0" w:rsidRPr="002D7748" w:rsidRDefault="004955A0" w:rsidP="004955A0">
            <w:pPr>
              <w:spacing w:before="40" w:after="80"/>
            </w:pPr>
            <w:r w:rsidRPr="002D7748">
              <w:t>Section _.15</w:t>
            </w:r>
          </w:p>
        </w:tc>
      </w:tr>
      <w:tr w:rsidR="004955A0" w:rsidRPr="00B9669B" w14:paraId="72519BB2" w14:textId="77777777" w:rsidTr="004955A0">
        <w:trPr>
          <w:cantSplit/>
        </w:trPr>
        <w:tc>
          <w:tcPr>
            <w:tcW w:w="8478" w:type="dxa"/>
          </w:tcPr>
          <w:p w14:paraId="62FD5ED8" w14:textId="77777777" w:rsidR="004955A0" w:rsidRDefault="004955A0" w:rsidP="004955A0">
            <w:pPr>
              <w:spacing w:after="20"/>
              <w:rPr>
                <w:szCs w:val="24"/>
              </w:rPr>
            </w:pPr>
            <w:r w:rsidRPr="00B9669B">
              <w:rPr>
                <w:szCs w:val="24"/>
                <w:u w:val="single"/>
              </w:rPr>
              <w:t>Claim-Paying Program</w:t>
            </w:r>
            <w:r w:rsidRPr="00B9669B">
              <w:rPr>
                <w:szCs w:val="24"/>
              </w:rPr>
              <w:t>.  A program that accepts risk instead of paying insurance companies to cover those risks</w:t>
            </w:r>
            <w:r>
              <w:rPr>
                <w:szCs w:val="24"/>
              </w:rPr>
              <w:t xml:space="preserve"> (through the purchase of an insurance policy)</w:t>
            </w:r>
            <w:r w:rsidRPr="00B9669B">
              <w:rPr>
                <w:szCs w:val="24"/>
              </w:rPr>
              <w:t>.  Claim-paying programs do one or both of the following:</w:t>
            </w:r>
          </w:p>
          <w:p w14:paraId="2D2C783C" w14:textId="77777777" w:rsidR="004955A0" w:rsidRPr="00A2453B" w:rsidRDefault="004955A0" w:rsidP="004955A0">
            <w:pPr>
              <w:pStyle w:val="ListParagraph"/>
              <w:numPr>
                <w:ilvl w:val="0"/>
                <w:numId w:val="40"/>
              </w:numPr>
              <w:spacing w:before="20" w:after="20"/>
              <w:ind w:left="706" w:hanging="346"/>
              <w:rPr>
                <w:szCs w:val="24"/>
              </w:rPr>
            </w:pPr>
            <w:r w:rsidRPr="00A2453B">
              <w:rPr>
                <w:szCs w:val="24"/>
              </w:rPr>
              <w:t>Contract with private insurance carriers to process and/or pay claims.</w:t>
            </w:r>
            <w:r>
              <w:rPr>
                <w:szCs w:val="24"/>
              </w:rPr>
              <w:t xml:space="preserve">  (Known as Third Party Administrated Claim-Paying Programs)</w:t>
            </w:r>
          </w:p>
          <w:p w14:paraId="1E0D61A0" w14:textId="77777777" w:rsidR="004955A0" w:rsidRDefault="004955A0" w:rsidP="004955A0">
            <w:pPr>
              <w:pStyle w:val="ListParagraph"/>
              <w:numPr>
                <w:ilvl w:val="0"/>
                <w:numId w:val="40"/>
              </w:numPr>
              <w:spacing w:after="20"/>
              <w:ind w:left="708" w:hanging="348"/>
              <w:rPr>
                <w:szCs w:val="24"/>
              </w:rPr>
            </w:pPr>
            <w:r w:rsidRPr="00B9669B">
              <w:rPr>
                <w:szCs w:val="24"/>
              </w:rPr>
              <w:t>Pay claims directly.</w:t>
            </w:r>
            <w:r>
              <w:rPr>
                <w:szCs w:val="24"/>
              </w:rPr>
              <w:t xml:space="preserve"> (also known as State Claim-Paying Programs)</w:t>
            </w:r>
          </w:p>
          <w:p w14:paraId="02670A13" w14:textId="27C503DB" w:rsidR="004955A0" w:rsidRPr="00A2453B" w:rsidRDefault="004955A0" w:rsidP="004955A0">
            <w:pPr>
              <w:spacing w:before="20"/>
              <w:rPr>
                <w:szCs w:val="24"/>
              </w:rPr>
            </w:pPr>
            <w:r w:rsidRPr="00B9669B">
              <w:rPr>
                <w:szCs w:val="24"/>
              </w:rPr>
              <w:t xml:space="preserve">The State Unemployment Compensation Program </w:t>
            </w:r>
            <w:r>
              <w:rPr>
                <w:szCs w:val="24"/>
              </w:rPr>
              <w:t>is</w:t>
            </w:r>
            <w:r w:rsidRPr="00B9669B">
              <w:rPr>
                <w:szCs w:val="24"/>
              </w:rPr>
              <w:t xml:space="preserve"> not </w:t>
            </w:r>
            <w:r>
              <w:rPr>
                <w:szCs w:val="24"/>
              </w:rPr>
              <w:t xml:space="preserve">a </w:t>
            </w:r>
            <w:r w:rsidRPr="00B9669B">
              <w:rPr>
                <w:szCs w:val="24"/>
              </w:rPr>
              <w:t xml:space="preserve">claim-paying program for the purposes of this reporting package.  </w:t>
            </w:r>
          </w:p>
        </w:tc>
        <w:tc>
          <w:tcPr>
            <w:tcW w:w="1440" w:type="dxa"/>
          </w:tcPr>
          <w:p w14:paraId="45FA314D" w14:textId="77777777" w:rsidR="004955A0" w:rsidRDefault="004955A0" w:rsidP="004955A0">
            <w:pPr>
              <w:spacing w:after="80"/>
            </w:pPr>
            <w:r w:rsidRPr="002D7748">
              <w:t xml:space="preserve">General </w:t>
            </w:r>
          </w:p>
          <w:p w14:paraId="2A422BDF" w14:textId="77777777" w:rsidR="004955A0" w:rsidRDefault="004955A0" w:rsidP="004955A0">
            <w:pPr>
              <w:spacing w:before="40" w:after="80"/>
            </w:pPr>
            <w:r w:rsidRPr="002D7748">
              <w:t>Section _.15</w:t>
            </w:r>
          </w:p>
          <w:p w14:paraId="4799CCC6" w14:textId="77777777" w:rsidR="004955A0" w:rsidRPr="002D7748" w:rsidRDefault="004955A0" w:rsidP="004955A0">
            <w:pPr>
              <w:spacing w:before="40" w:after="80"/>
              <w:rPr>
                <w:szCs w:val="24"/>
              </w:rPr>
            </w:pPr>
            <w:r w:rsidRPr="002D7748">
              <w:t>Section _.16</w:t>
            </w:r>
          </w:p>
        </w:tc>
      </w:tr>
      <w:tr w:rsidR="004955A0" w:rsidRPr="00B9669B" w14:paraId="0690F21A" w14:textId="77777777" w:rsidTr="004955A0">
        <w:trPr>
          <w:cantSplit/>
        </w:trPr>
        <w:tc>
          <w:tcPr>
            <w:tcW w:w="8478" w:type="dxa"/>
          </w:tcPr>
          <w:p w14:paraId="3FCEFEB7" w14:textId="77777777" w:rsidR="004955A0" w:rsidRDefault="004955A0" w:rsidP="004955A0">
            <w:pPr>
              <w:spacing w:after="20"/>
              <w:rPr>
                <w:szCs w:val="24"/>
              </w:rPr>
            </w:pPr>
            <w:r w:rsidRPr="00B9669B">
              <w:rPr>
                <w:szCs w:val="24"/>
                <w:u w:val="single"/>
              </w:rPr>
              <w:t xml:space="preserve">Claims Known </w:t>
            </w:r>
            <w:proofErr w:type="gramStart"/>
            <w:r w:rsidRPr="00B9669B">
              <w:rPr>
                <w:szCs w:val="24"/>
                <w:u w:val="single"/>
              </w:rPr>
              <w:t>But</w:t>
            </w:r>
            <w:proofErr w:type="gramEnd"/>
            <w:r w:rsidRPr="00B9669B">
              <w:rPr>
                <w:szCs w:val="24"/>
                <w:u w:val="single"/>
              </w:rPr>
              <w:t xml:space="preserve"> Not Paid</w:t>
            </w:r>
            <w:r w:rsidRPr="00B9669B">
              <w:rPr>
                <w:szCs w:val="24"/>
              </w:rPr>
              <w:t>.  Claims that satisfy both of the following conditions:</w:t>
            </w:r>
          </w:p>
          <w:p w14:paraId="030E807C" w14:textId="77777777" w:rsidR="004955A0" w:rsidRPr="001466FC" w:rsidRDefault="004955A0" w:rsidP="004955A0">
            <w:pPr>
              <w:pStyle w:val="ListParagraph"/>
              <w:numPr>
                <w:ilvl w:val="0"/>
                <w:numId w:val="43"/>
              </w:numPr>
              <w:spacing w:before="20" w:after="20"/>
              <w:ind w:left="706" w:hanging="346"/>
              <w:rPr>
                <w:szCs w:val="24"/>
              </w:rPr>
            </w:pPr>
            <w:r w:rsidRPr="001466FC">
              <w:rPr>
                <w:szCs w:val="24"/>
              </w:rPr>
              <w:t>The State is aware that a covered event occurred on or before June 30.  Example: a covered party filed a claim on or before June 30.</w:t>
            </w:r>
          </w:p>
          <w:p w14:paraId="5E63CBE5" w14:textId="77777777" w:rsidR="004955A0" w:rsidRDefault="004955A0" w:rsidP="004955A0">
            <w:pPr>
              <w:pStyle w:val="ListParagraph"/>
              <w:numPr>
                <w:ilvl w:val="0"/>
                <w:numId w:val="43"/>
              </w:numPr>
              <w:spacing w:after="20"/>
              <w:ind w:left="708" w:hanging="348"/>
              <w:rPr>
                <w:szCs w:val="24"/>
              </w:rPr>
            </w:pPr>
            <w:r w:rsidRPr="00B9669B">
              <w:rPr>
                <w:szCs w:val="24"/>
              </w:rPr>
              <w:t>As of June 30, your agency either has made no payment or only partial payment on the claim.</w:t>
            </w:r>
          </w:p>
          <w:p w14:paraId="3591E889" w14:textId="77777777" w:rsidR="004955A0" w:rsidRDefault="004955A0" w:rsidP="004955A0">
            <w:pPr>
              <w:spacing w:before="40" w:after="20"/>
              <w:rPr>
                <w:szCs w:val="24"/>
              </w:rPr>
            </w:pPr>
            <w:r w:rsidRPr="00B9669B">
              <w:rPr>
                <w:szCs w:val="24"/>
              </w:rPr>
              <w:t>The amount for claims known but not paid includes both:</w:t>
            </w:r>
          </w:p>
          <w:p w14:paraId="3992A02B" w14:textId="77777777" w:rsidR="004955A0" w:rsidRPr="001466FC" w:rsidRDefault="004955A0" w:rsidP="004955A0">
            <w:pPr>
              <w:pStyle w:val="ListParagraph"/>
              <w:numPr>
                <w:ilvl w:val="0"/>
                <w:numId w:val="42"/>
              </w:numPr>
              <w:spacing w:before="20" w:after="20"/>
              <w:ind w:left="706" w:hanging="346"/>
              <w:rPr>
                <w:szCs w:val="24"/>
              </w:rPr>
            </w:pPr>
            <w:r w:rsidRPr="001466FC">
              <w:rPr>
                <w:szCs w:val="24"/>
              </w:rPr>
              <w:t xml:space="preserve">The </w:t>
            </w:r>
            <w:r w:rsidRPr="001466FC">
              <w:rPr>
                <w:szCs w:val="24"/>
                <w:u w:val="words"/>
              </w:rPr>
              <w:t>known</w:t>
            </w:r>
            <w:r w:rsidRPr="001466FC">
              <w:rPr>
                <w:szCs w:val="24"/>
              </w:rPr>
              <w:t xml:space="preserve"> amount that the State must pay in the future for claims settled on or before June 30.</w:t>
            </w:r>
          </w:p>
          <w:p w14:paraId="491767A3" w14:textId="77777777" w:rsidR="004955A0" w:rsidRPr="001466FC" w:rsidRDefault="004955A0" w:rsidP="004955A0">
            <w:pPr>
              <w:pStyle w:val="ListParagraph"/>
              <w:numPr>
                <w:ilvl w:val="0"/>
                <w:numId w:val="42"/>
              </w:numPr>
              <w:spacing w:after="80"/>
              <w:ind w:left="706" w:hanging="346"/>
              <w:rPr>
                <w:szCs w:val="24"/>
              </w:rPr>
            </w:pPr>
            <w:r w:rsidRPr="00B9669B">
              <w:rPr>
                <w:szCs w:val="24"/>
              </w:rPr>
              <w:t xml:space="preserve">An </w:t>
            </w:r>
            <w:r w:rsidRPr="00B9669B">
              <w:rPr>
                <w:szCs w:val="24"/>
                <w:u w:val="words"/>
              </w:rPr>
              <w:t>estimate</w:t>
            </w:r>
            <w:r w:rsidRPr="00B9669B">
              <w:rPr>
                <w:szCs w:val="24"/>
              </w:rPr>
              <w:t xml:space="preserve"> of amounts the State will pay in the future for claims in process (if any) </w:t>
            </w:r>
            <w:proofErr w:type="gramStart"/>
            <w:r w:rsidRPr="00B9669B">
              <w:rPr>
                <w:szCs w:val="24"/>
              </w:rPr>
              <w:t>at</w:t>
            </w:r>
            <w:proofErr w:type="gramEnd"/>
            <w:r w:rsidRPr="00B9669B">
              <w:rPr>
                <w:szCs w:val="24"/>
              </w:rPr>
              <w:t xml:space="preserve"> June 30.  </w:t>
            </w:r>
          </w:p>
        </w:tc>
        <w:tc>
          <w:tcPr>
            <w:tcW w:w="1440" w:type="dxa"/>
          </w:tcPr>
          <w:p w14:paraId="21EFC623" w14:textId="77777777" w:rsidR="004955A0" w:rsidRPr="002D7748" w:rsidRDefault="004955A0" w:rsidP="004955A0">
            <w:pPr>
              <w:spacing w:after="80"/>
              <w:rPr>
                <w:szCs w:val="24"/>
              </w:rPr>
            </w:pPr>
            <w:r w:rsidRPr="002D7748">
              <w:t>Section _.15</w:t>
            </w:r>
          </w:p>
        </w:tc>
      </w:tr>
      <w:tr w:rsidR="004955A0" w:rsidRPr="00B9669B" w14:paraId="2D982A65" w14:textId="77777777" w:rsidTr="004955A0">
        <w:trPr>
          <w:cantSplit/>
        </w:trPr>
        <w:tc>
          <w:tcPr>
            <w:tcW w:w="8478" w:type="dxa"/>
          </w:tcPr>
          <w:p w14:paraId="01A48A91" w14:textId="77777777" w:rsidR="004955A0" w:rsidRPr="00B9669B" w:rsidRDefault="004955A0" w:rsidP="004955A0">
            <w:pPr>
              <w:spacing w:after="80"/>
            </w:pPr>
            <w:r w:rsidRPr="00B9669B">
              <w:rPr>
                <w:u w:val="single"/>
              </w:rPr>
              <w:t>Commitment</w:t>
            </w:r>
            <w:r w:rsidRPr="00B9669B">
              <w:t xml:space="preserve">.  The amount of the unperformed portion of a contract or promise </w:t>
            </w:r>
            <w:r>
              <w:t>as of the fiscal year end (</w:t>
            </w:r>
            <w:r w:rsidRPr="00B9669B">
              <w:t>June 30</w:t>
            </w:r>
            <w:r w:rsidRPr="00AC7A4D">
              <w:rPr>
                <w:vertAlign w:val="superscript"/>
              </w:rPr>
              <w:t>th</w:t>
            </w:r>
            <w:r>
              <w:t>)</w:t>
            </w:r>
            <w:r w:rsidRPr="00B9669B">
              <w:t xml:space="preserve">.  (A commitment becomes a liability when the contracted services are performed.)  </w:t>
            </w:r>
          </w:p>
        </w:tc>
        <w:tc>
          <w:tcPr>
            <w:tcW w:w="1440" w:type="dxa"/>
          </w:tcPr>
          <w:p w14:paraId="20649C38" w14:textId="77777777" w:rsidR="004955A0" w:rsidRDefault="004955A0" w:rsidP="004955A0">
            <w:pPr>
              <w:spacing w:after="80"/>
            </w:pPr>
            <w:r w:rsidRPr="002D7748">
              <w:t xml:space="preserve">General </w:t>
            </w:r>
          </w:p>
          <w:p w14:paraId="4EC9C505" w14:textId="77777777" w:rsidR="004955A0" w:rsidRPr="002D7748" w:rsidRDefault="004955A0" w:rsidP="004955A0">
            <w:pPr>
              <w:spacing w:before="40" w:after="80"/>
            </w:pPr>
            <w:r w:rsidRPr="002D7748">
              <w:t>Section _.16</w:t>
            </w:r>
          </w:p>
        </w:tc>
      </w:tr>
      <w:tr w:rsidR="004955A0" w:rsidRPr="00B9669B" w14:paraId="2143033B" w14:textId="77777777" w:rsidTr="004955A0">
        <w:trPr>
          <w:cantSplit/>
        </w:trPr>
        <w:tc>
          <w:tcPr>
            <w:tcW w:w="8478" w:type="dxa"/>
          </w:tcPr>
          <w:p w14:paraId="419F311E" w14:textId="3BA0EAF3" w:rsidR="004955A0" w:rsidRPr="00B9669B" w:rsidRDefault="004955A0" w:rsidP="004955A0">
            <w:pPr>
              <w:rPr>
                <w:rFonts w:cs="Courier New"/>
              </w:rPr>
            </w:pPr>
            <w:r w:rsidRPr="00B9669B">
              <w:rPr>
                <w:u w:val="single"/>
              </w:rPr>
              <w:lastRenderedPageBreak/>
              <w:t>Committed</w:t>
            </w:r>
            <w:r>
              <w:rPr>
                <w:u w:val="single"/>
              </w:rPr>
              <w:t xml:space="preserve"> fund balance</w:t>
            </w:r>
            <w:r w:rsidRPr="00B9669B">
              <w:t xml:space="preserve">.  The fund balance classification for which constraints on the use of revenue resources are </w:t>
            </w:r>
            <w:r w:rsidR="00A86F03">
              <w:t>determined by formal action</w:t>
            </w:r>
            <w:r w:rsidR="00D77C74">
              <w:t xml:space="preserve"> </w:t>
            </w:r>
            <w:r w:rsidR="00A86F03">
              <w:t xml:space="preserve">of the government’s highest level of decision-making authority and constraints imposed by legislation that is separate from the legislation that created the revenue source. Amounts in committed fund balance may be redeployed </w:t>
            </w:r>
            <w:r w:rsidR="00873379">
              <w:t>for other purposes with appropriate due process.</w:t>
            </w:r>
            <w:r w:rsidR="00A86F03">
              <w:t xml:space="preserve"> </w:t>
            </w:r>
          </w:p>
        </w:tc>
        <w:tc>
          <w:tcPr>
            <w:tcW w:w="1440" w:type="dxa"/>
          </w:tcPr>
          <w:p w14:paraId="132C303B" w14:textId="77777777" w:rsidR="004955A0" w:rsidRPr="002D7748" w:rsidRDefault="004955A0" w:rsidP="004955A0">
            <w:pPr>
              <w:spacing w:after="80"/>
            </w:pPr>
            <w:r w:rsidRPr="002D7748">
              <w:t>Section _.20</w:t>
            </w:r>
          </w:p>
        </w:tc>
      </w:tr>
      <w:tr w:rsidR="004955A0" w:rsidRPr="00B9669B" w14:paraId="78A3F0A8" w14:textId="77777777" w:rsidTr="004955A0">
        <w:trPr>
          <w:cantSplit/>
        </w:trPr>
        <w:tc>
          <w:tcPr>
            <w:tcW w:w="8478" w:type="dxa"/>
          </w:tcPr>
          <w:p w14:paraId="22DF9FF7" w14:textId="77777777" w:rsidR="004955A0" w:rsidRPr="00B9669B" w:rsidRDefault="004955A0" w:rsidP="004955A0">
            <w:r w:rsidRPr="00B9669B">
              <w:rPr>
                <w:u w:val="single"/>
              </w:rPr>
              <w:t>Compensated Absence</w:t>
            </w:r>
            <w:r w:rsidRPr="00B9669B">
              <w:t xml:space="preserve">.  Accumulated employee balances of annual leave, sick leave, compensatory time, and holiday compensatory time.  </w:t>
            </w:r>
          </w:p>
        </w:tc>
        <w:tc>
          <w:tcPr>
            <w:tcW w:w="1440" w:type="dxa"/>
          </w:tcPr>
          <w:p w14:paraId="78087CAD" w14:textId="77777777" w:rsidR="004955A0" w:rsidRPr="002D7748" w:rsidRDefault="004955A0" w:rsidP="004955A0">
            <w:pPr>
              <w:spacing w:after="80"/>
            </w:pPr>
            <w:r w:rsidRPr="002D7748">
              <w:t>Section _.17</w:t>
            </w:r>
          </w:p>
        </w:tc>
      </w:tr>
      <w:tr w:rsidR="004955A0" w:rsidRPr="00B9669B" w14:paraId="02BB5E3B" w14:textId="77777777" w:rsidTr="004955A0">
        <w:trPr>
          <w:cantSplit/>
        </w:trPr>
        <w:tc>
          <w:tcPr>
            <w:tcW w:w="8478" w:type="dxa"/>
          </w:tcPr>
          <w:p w14:paraId="445447F4"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9669B">
              <w:rPr>
                <w:szCs w:val="24"/>
                <w:u w:val="single"/>
              </w:rPr>
              <w:t>Composite Reservoir Bank Accounts</w:t>
            </w:r>
            <w:r w:rsidRPr="00B9669B">
              <w:rPr>
                <w:szCs w:val="24"/>
              </w:rPr>
              <w:t>.  Individual bank accounts established with the authorization of the STO for use by the agency to meet specific operational needs of the agency.  The agency is responsible for the controls relating to processing transactions within the account and the periodic reconciliation of its balance with third party information.  Because of the nature of some of the accounts composite reservoir accounts may carry negative balances.</w:t>
            </w:r>
          </w:p>
        </w:tc>
        <w:tc>
          <w:tcPr>
            <w:tcW w:w="1440" w:type="dxa"/>
          </w:tcPr>
          <w:p w14:paraId="70593D45" w14:textId="77777777" w:rsidR="004955A0" w:rsidRDefault="004955A0" w:rsidP="004955A0">
            <w:pPr>
              <w:spacing w:after="80"/>
            </w:pPr>
            <w:r w:rsidRPr="002D7748">
              <w:t>General</w:t>
            </w:r>
          </w:p>
          <w:p w14:paraId="2A9073E8" w14:textId="77777777" w:rsidR="004955A0" w:rsidRPr="002D7748" w:rsidRDefault="004955A0" w:rsidP="004955A0">
            <w:pPr>
              <w:spacing w:before="40" w:after="80"/>
            </w:pPr>
            <w:r w:rsidRPr="002D7748">
              <w:t>Section _.1</w:t>
            </w:r>
          </w:p>
        </w:tc>
      </w:tr>
      <w:tr w:rsidR="004955A0" w:rsidRPr="00B9669B" w14:paraId="67F6B18D" w14:textId="77777777" w:rsidTr="004955A0">
        <w:trPr>
          <w:cantSplit/>
        </w:trPr>
        <w:tc>
          <w:tcPr>
            <w:tcW w:w="8478" w:type="dxa"/>
          </w:tcPr>
          <w:p w14:paraId="691AB3D4" w14:textId="77777777" w:rsidR="004955A0" w:rsidRPr="00B9669B" w:rsidRDefault="004955A0" w:rsidP="004955A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szCs w:val="24"/>
              </w:rPr>
            </w:pPr>
            <w:r w:rsidRPr="00B9669B">
              <w:rPr>
                <w:szCs w:val="24"/>
                <w:u w:val="single"/>
              </w:rPr>
              <w:t>Construction Commitments Outstanding</w:t>
            </w:r>
            <w:r w:rsidRPr="00B9669B">
              <w:rPr>
                <w:szCs w:val="24"/>
              </w:rPr>
              <w:t xml:space="preserve">.  These commitments arise from executed (signed) contracts for construction or development of new capital assets or to repair or maintain existing capital assets.  If the work required by the contract is not complete, a remaining commitment or outstanding commitment exists for the contract.  </w:t>
            </w:r>
          </w:p>
        </w:tc>
        <w:tc>
          <w:tcPr>
            <w:tcW w:w="1440" w:type="dxa"/>
          </w:tcPr>
          <w:p w14:paraId="4071C746" w14:textId="77777777" w:rsidR="004955A0" w:rsidRPr="002D7748" w:rsidRDefault="004955A0" w:rsidP="004955A0">
            <w:pPr>
              <w:spacing w:after="80"/>
            </w:pPr>
            <w:r w:rsidRPr="002D7748">
              <w:t>Section _.8</w:t>
            </w:r>
          </w:p>
        </w:tc>
      </w:tr>
      <w:tr w:rsidR="004955A0" w:rsidRPr="00B9669B" w14:paraId="67470B2C" w14:textId="77777777" w:rsidTr="004955A0">
        <w:trPr>
          <w:cantSplit/>
        </w:trPr>
        <w:tc>
          <w:tcPr>
            <w:tcW w:w="8478" w:type="dxa"/>
          </w:tcPr>
          <w:p w14:paraId="7E06685A" w14:textId="039C9EA8" w:rsidR="004955A0" w:rsidRDefault="004955A0" w:rsidP="004955A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B9669B">
              <w:rPr>
                <w:szCs w:val="24"/>
                <w:u w:val="single"/>
              </w:rPr>
              <w:t>Construction in Progress</w:t>
            </w:r>
            <w:r>
              <w:rPr>
                <w:szCs w:val="24"/>
                <w:u w:val="single"/>
              </w:rPr>
              <w:t xml:space="preserve"> (also known as </w:t>
            </w:r>
            <w:r w:rsidRPr="003B02BA">
              <w:rPr>
                <w:szCs w:val="24"/>
                <w:u w:val="single"/>
              </w:rPr>
              <w:t>Asset Under Construction)</w:t>
            </w:r>
            <w:r>
              <w:rPr>
                <w:szCs w:val="24"/>
              </w:rPr>
              <w:t>.</w:t>
            </w:r>
            <w:r w:rsidRPr="00B9669B">
              <w:rPr>
                <w:szCs w:val="24"/>
              </w:rPr>
              <w:t xml:space="preserve">  The balance reported in Construction in Progress represents costs incurred through June 30 for construction of capital assets that are not yet substantially complete as of June 30.  </w:t>
            </w:r>
          </w:p>
          <w:p w14:paraId="56DE47BE" w14:textId="77777777" w:rsidR="004955A0" w:rsidRPr="00B9669B" w:rsidRDefault="004955A0" w:rsidP="004955A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ind w:left="259" w:right="187"/>
              <w:rPr>
                <w:szCs w:val="24"/>
              </w:rPr>
            </w:pPr>
            <w:r w:rsidRPr="00B9669B">
              <w:rPr>
                <w:szCs w:val="24"/>
              </w:rPr>
              <w:t xml:space="preserve">Do not depreciate Construction in Progress.  When construction of the capital asset is substantially complete and the asset is ready to be occupied or placed into service, a reclassification from Construction in Progress to the appropriate capital asset categories is made.  The physical occupation or availability for use of the asset should guide the timing of this transaction.  </w:t>
            </w:r>
          </w:p>
        </w:tc>
        <w:tc>
          <w:tcPr>
            <w:tcW w:w="1440" w:type="dxa"/>
          </w:tcPr>
          <w:p w14:paraId="28733864" w14:textId="77777777" w:rsidR="004955A0" w:rsidRPr="002D7748" w:rsidRDefault="004955A0" w:rsidP="004955A0">
            <w:pPr>
              <w:spacing w:after="80"/>
            </w:pPr>
            <w:r w:rsidRPr="002D7748">
              <w:t>Section _.8</w:t>
            </w:r>
          </w:p>
        </w:tc>
      </w:tr>
      <w:tr w:rsidR="004955A0" w:rsidRPr="00B9669B" w14:paraId="50C5F250" w14:textId="77777777" w:rsidTr="004955A0">
        <w:trPr>
          <w:cantSplit/>
        </w:trPr>
        <w:tc>
          <w:tcPr>
            <w:tcW w:w="8478" w:type="dxa"/>
          </w:tcPr>
          <w:p w14:paraId="607B6B7B" w14:textId="77777777" w:rsidR="004955A0" w:rsidRPr="00B9669B" w:rsidRDefault="004955A0" w:rsidP="004955A0">
            <w:r w:rsidRPr="00B9669B">
              <w:rPr>
                <w:u w:val="single"/>
              </w:rPr>
              <w:t>Contingent Rental</w:t>
            </w:r>
            <w:r w:rsidRPr="00B9669B">
              <w:t xml:space="preserve">.  Rent charges which change during the lease term based on factors other than the passage of time (for example usage, machine hours, or sales volume).  </w:t>
            </w:r>
          </w:p>
        </w:tc>
        <w:tc>
          <w:tcPr>
            <w:tcW w:w="1440" w:type="dxa"/>
          </w:tcPr>
          <w:p w14:paraId="79D73981" w14:textId="77777777" w:rsidR="004955A0" w:rsidRPr="002D7748" w:rsidRDefault="004955A0" w:rsidP="004955A0">
            <w:pPr>
              <w:spacing w:after="80"/>
            </w:pPr>
            <w:r w:rsidRPr="002D7748">
              <w:t>Section _.9</w:t>
            </w:r>
          </w:p>
        </w:tc>
      </w:tr>
      <w:tr w:rsidR="004955A0" w:rsidRPr="00B9669B" w14:paraId="741D4E02" w14:textId="77777777" w:rsidTr="004955A0">
        <w:trPr>
          <w:cantSplit/>
        </w:trPr>
        <w:tc>
          <w:tcPr>
            <w:tcW w:w="8478" w:type="dxa"/>
          </w:tcPr>
          <w:p w14:paraId="54EDC8FE" w14:textId="27B2534E" w:rsidR="004955A0" w:rsidRPr="00B9669B" w:rsidRDefault="004955A0" w:rsidP="004955A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Contract Retentions</w:t>
            </w:r>
            <w:r w:rsidR="0076110E">
              <w:rPr>
                <w:szCs w:val="24"/>
                <w:u w:val="single"/>
              </w:rPr>
              <w:t xml:space="preserve"> (also known at Retainage</w:t>
            </w:r>
            <w:r w:rsidR="008046AE">
              <w:rPr>
                <w:szCs w:val="24"/>
                <w:u w:val="single"/>
              </w:rPr>
              <w:t xml:space="preserve"> Payable</w:t>
            </w:r>
            <w:r w:rsidR="0076110E">
              <w:rPr>
                <w:szCs w:val="24"/>
                <w:u w:val="single"/>
              </w:rPr>
              <w:t>)</w:t>
            </w:r>
            <w:r w:rsidRPr="00B9669B">
              <w:rPr>
                <w:szCs w:val="24"/>
              </w:rPr>
              <w:t>.  As</w:t>
            </w:r>
            <w:r>
              <w:rPr>
                <w:szCs w:val="24"/>
              </w:rPr>
              <w:t xml:space="preserve"> </w:t>
            </w:r>
            <w:r w:rsidR="0076110E">
              <w:rPr>
                <w:szCs w:val="24"/>
              </w:rPr>
              <w:t>required by</w:t>
            </w:r>
            <w:r w:rsidRPr="00B9669B">
              <w:rPr>
                <w:szCs w:val="24"/>
              </w:rPr>
              <w:t xml:space="preserve"> some construction project contracts (or other long-term project contracts, such as systems projects), a portion of the contract price is withheld </w:t>
            </w:r>
            <w:r>
              <w:rPr>
                <w:szCs w:val="24"/>
              </w:rPr>
              <w:t xml:space="preserve">(retained or “held back”) </w:t>
            </w:r>
            <w:r w:rsidRPr="00B9669B">
              <w:rPr>
                <w:szCs w:val="24"/>
              </w:rPr>
              <w:t>from payment to the contractor until the project is complete.  The withheld amount is retained for timely completion, correction of defects, and compliance with other requirements of the contract.  Therefore, the retained amounts are known as contract retentions.  The liability is known as retainage payable.</w:t>
            </w:r>
          </w:p>
        </w:tc>
        <w:tc>
          <w:tcPr>
            <w:tcW w:w="1440" w:type="dxa"/>
          </w:tcPr>
          <w:p w14:paraId="4144A19F" w14:textId="77777777" w:rsidR="004955A0" w:rsidRDefault="004955A0" w:rsidP="004955A0">
            <w:pPr>
              <w:spacing w:after="80"/>
            </w:pPr>
            <w:r w:rsidRPr="002D7748">
              <w:t>Section _.8</w:t>
            </w:r>
          </w:p>
          <w:p w14:paraId="00F93971" w14:textId="77777777" w:rsidR="004955A0" w:rsidRPr="002D7748" w:rsidRDefault="004955A0" w:rsidP="004955A0">
            <w:pPr>
              <w:spacing w:before="40" w:after="80"/>
            </w:pPr>
            <w:r w:rsidRPr="002D7748">
              <w:t>Section _.12</w:t>
            </w:r>
          </w:p>
        </w:tc>
      </w:tr>
      <w:tr w:rsidR="004955A0" w:rsidRPr="00B9669B" w14:paraId="5E482B70" w14:textId="77777777" w:rsidTr="004955A0">
        <w:trPr>
          <w:cantSplit/>
        </w:trPr>
        <w:tc>
          <w:tcPr>
            <w:tcW w:w="8478" w:type="dxa"/>
          </w:tcPr>
          <w:p w14:paraId="23469824" w14:textId="0718DD8B" w:rsidR="004955A0" w:rsidRPr="00B9669B" w:rsidRDefault="004955A0" w:rsidP="004955A0">
            <w:pPr>
              <w:spacing w:line="240" w:lineRule="exact"/>
              <w:rPr>
                <w:szCs w:val="24"/>
                <w:u w:val="single"/>
              </w:rPr>
            </w:pPr>
            <w:r w:rsidRPr="00B9669B">
              <w:rPr>
                <w:szCs w:val="24"/>
                <w:u w:val="single"/>
              </w:rPr>
              <w:lastRenderedPageBreak/>
              <w:t>Contributions</w:t>
            </w:r>
            <w:r w:rsidRPr="00B9669B">
              <w:rPr>
                <w:szCs w:val="24"/>
              </w:rPr>
              <w:t xml:space="preserve">.  Revenue resources provided by private individuals or corporations.  Communication is typically less formal than grant awards or grant agreements.  In addition, the number of recipients for the same program is typically more limited.  </w:t>
            </w:r>
          </w:p>
        </w:tc>
        <w:tc>
          <w:tcPr>
            <w:tcW w:w="1440" w:type="dxa"/>
          </w:tcPr>
          <w:p w14:paraId="6647745E" w14:textId="77777777" w:rsidR="004955A0" w:rsidRPr="002D7748" w:rsidRDefault="004955A0" w:rsidP="004955A0">
            <w:pPr>
              <w:spacing w:after="80"/>
            </w:pPr>
            <w:r w:rsidRPr="002D7748">
              <w:t>Section _.3</w:t>
            </w:r>
          </w:p>
        </w:tc>
      </w:tr>
      <w:tr w:rsidR="004955A0" w:rsidRPr="00B9669B" w14:paraId="5B085702" w14:textId="77777777" w:rsidTr="004955A0">
        <w:trPr>
          <w:cantSplit/>
        </w:trPr>
        <w:tc>
          <w:tcPr>
            <w:tcW w:w="8478" w:type="dxa"/>
          </w:tcPr>
          <w:p w14:paraId="11B75A1B" w14:textId="77777777" w:rsidR="004955A0" w:rsidRPr="00B9669B" w:rsidRDefault="004955A0" w:rsidP="004955A0">
            <w:pPr>
              <w:rPr>
                <w:u w:val="single"/>
              </w:rPr>
            </w:pPr>
            <w:r w:rsidRPr="00B9669B">
              <w:rPr>
                <w:u w:val="single"/>
              </w:rPr>
              <w:t>Counterparties.</w:t>
            </w:r>
            <w:r w:rsidRPr="00B9669B">
              <w:t xml:space="preserve">  Entities with which the agency transacts business including customers, constituents, vendors, contractual parties, etc.</w:t>
            </w:r>
          </w:p>
        </w:tc>
        <w:tc>
          <w:tcPr>
            <w:tcW w:w="1440" w:type="dxa"/>
          </w:tcPr>
          <w:p w14:paraId="42087F4C" w14:textId="77777777" w:rsidR="004955A0" w:rsidRPr="002D7748" w:rsidRDefault="004955A0" w:rsidP="004955A0">
            <w:pPr>
              <w:spacing w:after="80"/>
            </w:pPr>
            <w:r w:rsidRPr="002D7748">
              <w:t>General</w:t>
            </w:r>
          </w:p>
        </w:tc>
      </w:tr>
      <w:tr w:rsidR="004955A0" w:rsidRPr="00B9669B" w14:paraId="6BEA7C4C" w14:textId="77777777" w:rsidTr="004955A0">
        <w:trPr>
          <w:cantSplit/>
        </w:trPr>
        <w:tc>
          <w:tcPr>
            <w:tcW w:w="8478" w:type="dxa"/>
          </w:tcPr>
          <w:p w14:paraId="69FEBDBE" w14:textId="77777777" w:rsidR="004955A0" w:rsidRPr="00B9669B" w:rsidRDefault="004955A0" w:rsidP="004955A0">
            <w:pPr>
              <w:rPr>
                <w:szCs w:val="24"/>
              </w:rPr>
            </w:pPr>
            <w:r w:rsidRPr="00B9669B">
              <w:rPr>
                <w:szCs w:val="24"/>
                <w:u w:val="single"/>
              </w:rPr>
              <w:t>Criminal</w:t>
            </w:r>
            <w:r w:rsidRPr="00B9669B">
              <w:rPr>
                <w:szCs w:val="24"/>
              </w:rPr>
              <w:t xml:space="preserve">.  Violations of laws or statutes other than those concerning breaches of contract and torts.  </w:t>
            </w:r>
          </w:p>
        </w:tc>
        <w:tc>
          <w:tcPr>
            <w:tcW w:w="1440" w:type="dxa"/>
          </w:tcPr>
          <w:p w14:paraId="6CC20FF1" w14:textId="77777777" w:rsidR="004955A0" w:rsidRPr="002D7748" w:rsidRDefault="004955A0" w:rsidP="004955A0">
            <w:pPr>
              <w:spacing w:after="80"/>
              <w:rPr>
                <w:szCs w:val="24"/>
              </w:rPr>
            </w:pPr>
            <w:r w:rsidRPr="002D7748">
              <w:t>Section _.13</w:t>
            </w:r>
          </w:p>
        </w:tc>
      </w:tr>
      <w:tr w:rsidR="004955A0" w:rsidRPr="00B9669B" w14:paraId="7EEEB0FE" w14:textId="77777777" w:rsidTr="004955A0">
        <w:trPr>
          <w:cantSplit/>
        </w:trPr>
        <w:tc>
          <w:tcPr>
            <w:tcW w:w="8478" w:type="dxa"/>
          </w:tcPr>
          <w:p w14:paraId="1DAF513E"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rPr>
            </w:pPr>
            <w:r w:rsidRPr="00B9669B">
              <w:rPr>
                <w:szCs w:val="24"/>
                <w:u w:val="single"/>
              </w:rPr>
              <w:t>Current</w:t>
            </w:r>
            <w:r w:rsidRPr="00B9669B">
              <w:rPr>
                <w:szCs w:val="24"/>
              </w:rPr>
              <w:t xml:space="preserve">.  A financial statement </w:t>
            </w:r>
            <w:r>
              <w:rPr>
                <w:szCs w:val="24"/>
              </w:rPr>
              <w:t xml:space="preserve">reporting </w:t>
            </w:r>
            <w:r w:rsidRPr="00B9669B">
              <w:rPr>
                <w:szCs w:val="24"/>
              </w:rPr>
              <w:t xml:space="preserve">classification indicating expectation of collection, use, or settlement within the </w:t>
            </w:r>
            <w:r w:rsidRPr="00B9669B">
              <w:rPr>
                <w:i/>
                <w:szCs w:val="24"/>
              </w:rPr>
              <w:t>next</w:t>
            </w:r>
            <w:r w:rsidRPr="00B9669B">
              <w:rPr>
                <w:szCs w:val="24"/>
              </w:rPr>
              <w:t xml:space="preserve"> fiscal year</w:t>
            </w:r>
            <w:r>
              <w:rPr>
                <w:szCs w:val="24"/>
              </w:rPr>
              <w:t xml:space="preserve"> (before the next June 30</w:t>
            </w:r>
            <w:r w:rsidRPr="00216A0E">
              <w:rPr>
                <w:szCs w:val="24"/>
                <w:vertAlign w:val="superscript"/>
              </w:rPr>
              <w:t>th</w:t>
            </w:r>
            <w:r>
              <w:rPr>
                <w:szCs w:val="24"/>
              </w:rPr>
              <w:t>)</w:t>
            </w:r>
            <w:r w:rsidRPr="00B9669B">
              <w:rPr>
                <w:szCs w:val="24"/>
              </w:rPr>
              <w:t xml:space="preserve">.  </w:t>
            </w:r>
          </w:p>
        </w:tc>
        <w:tc>
          <w:tcPr>
            <w:tcW w:w="1440" w:type="dxa"/>
          </w:tcPr>
          <w:p w14:paraId="69CC8512" w14:textId="77777777" w:rsidR="004955A0" w:rsidRDefault="004955A0" w:rsidP="004955A0">
            <w:pPr>
              <w:spacing w:after="80"/>
            </w:pPr>
            <w:r w:rsidRPr="002D7748">
              <w:t xml:space="preserve">General </w:t>
            </w:r>
          </w:p>
          <w:p w14:paraId="661A03AA" w14:textId="77777777" w:rsidR="004955A0" w:rsidRDefault="004955A0" w:rsidP="004955A0">
            <w:pPr>
              <w:spacing w:before="40" w:after="80"/>
            </w:pPr>
            <w:r w:rsidRPr="002D7748">
              <w:t>Section _.3</w:t>
            </w:r>
          </w:p>
          <w:p w14:paraId="0F0B81D4" w14:textId="77777777" w:rsidR="004955A0" w:rsidRDefault="004955A0" w:rsidP="004955A0">
            <w:pPr>
              <w:spacing w:before="40" w:after="80"/>
            </w:pPr>
            <w:r w:rsidRPr="002D7748">
              <w:t>Section _.5</w:t>
            </w:r>
          </w:p>
          <w:p w14:paraId="4780592A" w14:textId="77777777" w:rsidR="004955A0" w:rsidRDefault="004955A0" w:rsidP="004955A0">
            <w:pPr>
              <w:spacing w:before="40" w:after="80"/>
            </w:pPr>
            <w:r w:rsidRPr="002D7748">
              <w:t>Section _.7</w:t>
            </w:r>
          </w:p>
          <w:p w14:paraId="21E96E1C" w14:textId="77777777" w:rsidR="004955A0" w:rsidRDefault="004955A0" w:rsidP="004955A0">
            <w:pPr>
              <w:spacing w:before="40" w:after="80"/>
            </w:pPr>
            <w:r w:rsidRPr="002D7748">
              <w:t>Section _.10</w:t>
            </w:r>
          </w:p>
          <w:p w14:paraId="1331F773" w14:textId="77777777" w:rsidR="004955A0" w:rsidRPr="002D7748" w:rsidRDefault="004955A0" w:rsidP="004955A0">
            <w:pPr>
              <w:spacing w:before="40" w:after="80"/>
            </w:pPr>
            <w:r w:rsidRPr="002D7748">
              <w:t>Section _.1</w:t>
            </w:r>
            <w:r>
              <w:t>4</w:t>
            </w:r>
          </w:p>
        </w:tc>
      </w:tr>
      <w:tr w:rsidR="004955A0" w:rsidRPr="00B9669B" w14:paraId="00870680" w14:textId="77777777" w:rsidTr="004955A0">
        <w:trPr>
          <w:cantSplit/>
        </w:trPr>
        <w:tc>
          <w:tcPr>
            <w:tcW w:w="8478" w:type="dxa"/>
          </w:tcPr>
          <w:p w14:paraId="260905A6" w14:textId="77777777" w:rsidR="004955A0" w:rsidRPr="00B9669B" w:rsidRDefault="004955A0" w:rsidP="004955A0">
            <w:pPr>
              <w:rPr>
                <w:szCs w:val="24"/>
              </w:rPr>
            </w:pPr>
            <w:r w:rsidRPr="00B9669B">
              <w:rPr>
                <w:szCs w:val="24"/>
                <w:u w:val="single"/>
              </w:rPr>
              <w:t>Current Liability</w:t>
            </w:r>
            <w:r w:rsidRPr="00B9669B">
              <w:rPr>
                <w:szCs w:val="24"/>
              </w:rPr>
              <w:t xml:space="preserve">.  Liabilities </w:t>
            </w:r>
            <w:r>
              <w:rPr>
                <w:szCs w:val="24"/>
              </w:rPr>
              <w:t xml:space="preserve">(or the portion of a liability) that </w:t>
            </w:r>
            <w:r w:rsidRPr="00B9669B">
              <w:rPr>
                <w:szCs w:val="24"/>
              </w:rPr>
              <w:t xml:space="preserve">an agency incurred prior to June 30 of the current year and expects to pay before June 30 of the </w:t>
            </w:r>
            <w:r w:rsidRPr="00AC7A4D">
              <w:rPr>
                <w:i/>
                <w:szCs w:val="24"/>
              </w:rPr>
              <w:t>next</w:t>
            </w:r>
            <w:r w:rsidRPr="00B9669B">
              <w:rPr>
                <w:szCs w:val="24"/>
              </w:rPr>
              <w:t xml:space="preserve"> fiscal year.</w:t>
            </w:r>
          </w:p>
        </w:tc>
        <w:tc>
          <w:tcPr>
            <w:tcW w:w="1440" w:type="dxa"/>
          </w:tcPr>
          <w:p w14:paraId="432A7112" w14:textId="77777777" w:rsidR="004955A0" w:rsidRDefault="004955A0" w:rsidP="004955A0">
            <w:pPr>
              <w:spacing w:after="80"/>
            </w:pPr>
            <w:r w:rsidRPr="002D7748">
              <w:t>Section _.12</w:t>
            </w:r>
          </w:p>
          <w:p w14:paraId="4E40891E" w14:textId="77777777" w:rsidR="004955A0" w:rsidRDefault="004955A0" w:rsidP="004955A0">
            <w:pPr>
              <w:spacing w:before="40" w:after="80"/>
            </w:pPr>
            <w:r w:rsidRPr="002D7748">
              <w:t>Section _.13</w:t>
            </w:r>
          </w:p>
          <w:p w14:paraId="1CD92BFA" w14:textId="77777777" w:rsidR="004955A0" w:rsidRDefault="004955A0" w:rsidP="004955A0">
            <w:pPr>
              <w:spacing w:before="40" w:after="80"/>
            </w:pPr>
            <w:r w:rsidRPr="002D7748">
              <w:t>Section _.15</w:t>
            </w:r>
          </w:p>
          <w:p w14:paraId="5278D4C2" w14:textId="77777777" w:rsidR="004955A0" w:rsidRPr="002D7748" w:rsidRDefault="004955A0" w:rsidP="004955A0">
            <w:pPr>
              <w:spacing w:before="40" w:after="80"/>
              <w:rPr>
                <w:szCs w:val="24"/>
              </w:rPr>
            </w:pPr>
            <w:r w:rsidRPr="002D7748">
              <w:t>Section _.16</w:t>
            </w:r>
          </w:p>
        </w:tc>
      </w:tr>
      <w:tr w:rsidR="004955A0" w:rsidRPr="00B9669B" w14:paraId="4F7FE943" w14:textId="77777777" w:rsidTr="004955A0">
        <w:trPr>
          <w:cantSplit/>
        </w:trPr>
        <w:tc>
          <w:tcPr>
            <w:tcW w:w="8478" w:type="dxa"/>
          </w:tcPr>
          <w:p w14:paraId="5710FED1" w14:textId="77777777" w:rsidR="004955A0" w:rsidRDefault="004955A0" w:rsidP="004955A0">
            <w:pPr>
              <w:pStyle w:val="NormalIndent"/>
              <w:ind w:left="0"/>
              <w:rPr>
                <w:szCs w:val="24"/>
              </w:rPr>
            </w:pPr>
            <w:r w:rsidRPr="00B9669B">
              <w:rPr>
                <w:szCs w:val="24"/>
                <w:u w:val="single"/>
              </w:rPr>
              <w:t>Current Receivables.</w:t>
            </w:r>
            <w:r w:rsidRPr="00B9669B">
              <w:rPr>
                <w:szCs w:val="24"/>
              </w:rPr>
              <w:t xml:space="preserve">  That portion of Net Receivable </w:t>
            </w:r>
            <w:r>
              <w:rPr>
                <w:szCs w:val="24"/>
              </w:rPr>
              <w:t xml:space="preserve">(Taxes, Accounts, Grants, Contributions, or Other) </w:t>
            </w:r>
            <w:proofErr w:type="gramStart"/>
            <w:r w:rsidRPr="00B9669B">
              <w:rPr>
                <w:szCs w:val="24"/>
              </w:rPr>
              <w:t>at</w:t>
            </w:r>
            <w:proofErr w:type="gramEnd"/>
            <w:r w:rsidRPr="00B9669B">
              <w:rPr>
                <w:szCs w:val="24"/>
              </w:rPr>
              <w:t xml:space="preserve"> June 30 that is expected to be collected within one year </w:t>
            </w:r>
            <w:r>
              <w:rPr>
                <w:szCs w:val="24"/>
              </w:rPr>
              <w:br/>
            </w:r>
            <w:r w:rsidRPr="00B9669B">
              <w:rPr>
                <w:szCs w:val="24"/>
              </w:rPr>
              <w:t xml:space="preserve">(by June 30 of the </w:t>
            </w:r>
            <w:r w:rsidRPr="00B9669B">
              <w:rPr>
                <w:i/>
                <w:iCs/>
                <w:szCs w:val="24"/>
              </w:rPr>
              <w:t>next</w:t>
            </w:r>
            <w:r w:rsidRPr="00B9669B">
              <w:rPr>
                <w:szCs w:val="24"/>
              </w:rPr>
              <w:t xml:space="preserve"> fiscal year).</w:t>
            </w:r>
          </w:p>
        </w:tc>
        <w:tc>
          <w:tcPr>
            <w:tcW w:w="1440" w:type="dxa"/>
          </w:tcPr>
          <w:p w14:paraId="420C791C" w14:textId="77777777" w:rsidR="004955A0" w:rsidRDefault="004955A0" w:rsidP="004955A0">
            <w:pPr>
              <w:spacing w:after="80"/>
            </w:pPr>
            <w:r w:rsidRPr="002D7748">
              <w:t>Section _.2</w:t>
            </w:r>
          </w:p>
          <w:p w14:paraId="738EFCAA" w14:textId="77777777" w:rsidR="004955A0" w:rsidRPr="002D7748" w:rsidRDefault="004955A0" w:rsidP="004955A0">
            <w:pPr>
              <w:spacing w:before="40" w:after="80"/>
            </w:pPr>
            <w:r w:rsidRPr="002D7748">
              <w:t>Section _.4</w:t>
            </w:r>
          </w:p>
        </w:tc>
      </w:tr>
      <w:tr w:rsidR="004955A0" w:rsidRPr="00B9669B" w14:paraId="0A04DC84" w14:textId="77777777" w:rsidTr="004955A0">
        <w:trPr>
          <w:cantSplit/>
        </w:trPr>
        <w:tc>
          <w:tcPr>
            <w:tcW w:w="8478" w:type="dxa"/>
          </w:tcPr>
          <w:p w14:paraId="79249191" w14:textId="77777777" w:rsidR="004955A0" w:rsidRPr="00B9669B" w:rsidRDefault="004955A0" w:rsidP="004955A0">
            <w:pPr>
              <w:spacing w:line="240" w:lineRule="exact"/>
              <w:rPr>
                <w:szCs w:val="24"/>
              </w:rPr>
            </w:pPr>
            <w:r w:rsidRPr="00B9669B">
              <w:rPr>
                <w:szCs w:val="24"/>
                <w:u w:val="single"/>
              </w:rPr>
              <w:t>Deferred Revenue</w:t>
            </w:r>
            <w:r w:rsidRPr="00B9669B">
              <w:rPr>
                <w:szCs w:val="24"/>
              </w:rPr>
              <w:t xml:space="preserve">.  A liability representing an amount received as payment in advance of the period required or other limitations on the use of the resources generated in a revenue transaction, such as its availability to pay other liabilities.  </w:t>
            </w:r>
            <w:r>
              <w:rPr>
                <w:szCs w:val="24"/>
              </w:rPr>
              <w:t>Includes resources for which the exchange goods or services have not been completely delivered.</w:t>
            </w:r>
          </w:p>
        </w:tc>
        <w:tc>
          <w:tcPr>
            <w:tcW w:w="1440" w:type="dxa"/>
          </w:tcPr>
          <w:p w14:paraId="0AF16CE7" w14:textId="77777777" w:rsidR="004955A0" w:rsidRDefault="004955A0" w:rsidP="004955A0">
            <w:pPr>
              <w:spacing w:after="80"/>
            </w:pPr>
            <w:r w:rsidRPr="002D7748">
              <w:t>Section _.2</w:t>
            </w:r>
          </w:p>
          <w:p w14:paraId="6AEB8BE5" w14:textId="77777777" w:rsidR="004955A0" w:rsidRDefault="004955A0" w:rsidP="004955A0">
            <w:pPr>
              <w:spacing w:before="40" w:after="80"/>
            </w:pPr>
            <w:r w:rsidRPr="002D7748">
              <w:t>Section _.3</w:t>
            </w:r>
          </w:p>
          <w:p w14:paraId="6962AFF3" w14:textId="77777777" w:rsidR="004955A0" w:rsidRPr="002D7748" w:rsidRDefault="004955A0" w:rsidP="004955A0">
            <w:pPr>
              <w:spacing w:before="40" w:after="80"/>
            </w:pPr>
          </w:p>
        </w:tc>
      </w:tr>
      <w:tr w:rsidR="004955A0" w:rsidRPr="00B9669B" w14:paraId="73856DDB" w14:textId="77777777" w:rsidTr="004955A0">
        <w:trPr>
          <w:cantSplit/>
        </w:trPr>
        <w:tc>
          <w:tcPr>
            <w:tcW w:w="8478" w:type="dxa"/>
          </w:tcPr>
          <w:p w14:paraId="778C6241" w14:textId="7F328FC1"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Depreciable Land Improvements</w:t>
            </w:r>
            <w:r w:rsidRPr="00B9669B">
              <w:rPr>
                <w:szCs w:val="24"/>
              </w:rPr>
              <w:t xml:space="preserve">.  Land improvements </w:t>
            </w:r>
            <w:r w:rsidR="0076110E">
              <w:rPr>
                <w:szCs w:val="24"/>
              </w:rPr>
              <w:t>that continue to retain their usefulness without the presence of an</w:t>
            </w:r>
            <w:r w:rsidR="001A6009">
              <w:rPr>
                <w:szCs w:val="24"/>
              </w:rPr>
              <w:t>y</w:t>
            </w:r>
            <w:r w:rsidR="0076110E">
              <w:rPr>
                <w:szCs w:val="24"/>
              </w:rPr>
              <w:t xml:space="preserve"> existing building</w:t>
            </w:r>
            <w:r w:rsidR="001A6009">
              <w:rPr>
                <w:szCs w:val="24"/>
              </w:rPr>
              <w:t>s</w:t>
            </w:r>
            <w:r w:rsidR="0076110E">
              <w:rPr>
                <w:szCs w:val="24"/>
              </w:rPr>
              <w:t xml:space="preserve"> and </w:t>
            </w:r>
            <w:r w:rsidRPr="00B9669B">
              <w:rPr>
                <w:szCs w:val="24"/>
              </w:rPr>
              <w:t>that deteriorate with use or with the passage of time.  Examples include fencing, landscaping, lighting, parking lots, paving, and signs.</w:t>
            </w:r>
          </w:p>
        </w:tc>
        <w:tc>
          <w:tcPr>
            <w:tcW w:w="1440" w:type="dxa"/>
          </w:tcPr>
          <w:p w14:paraId="5FA2618E" w14:textId="77777777" w:rsidR="004955A0" w:rsidRPr="002D7748" w:rsidRDefault="004955A0" w:rsidP="004955A0">
            <w:pPr>
              <w:spacing w:after="80"/>
            </w:pPr>
            <w:r w:rsidRPr="002D7748">
              <w:t>Section _.8</w:t>
            </w:r>
          </w:p>
        </w:tc>
      </w:tr>
      <w:tr w:rsidR="004955A0" w:rsidRPr="00B9669B" w14:paraId="60CCC57F" w14:textId="77777777" w:rsidTr="004955A0">
        <w:trPr>
          <w:cantSplit/>
        </w:trPr>
        <w:tc>
          <w:tcPr>
            <w:tcW w:w="8478" w:type="dxa"/>
          </w:tcPr>
          <w:p w14:paraId="60D472A0" w14:textId="77777777"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Depreciation</w:t>
            </w:r>
            <w:r w:rsidRPr="00B9669B">
              <w:rPr>
                <w:szCs w:val="24"/>
              </w:rPr>
              <w:t xml:space="preserve">.  The estimation of the consumption of the use of an asset </w:t>
            </w:r>
            <w:proofErr w:type="gramStart"/>
            <w:r w:rsidRPr="00B9669B">
              <w:rPr>
                <w:szCs w:val="24"/>
              </w:rPr>
              <w:t>during the course of</w:t>
            </w:r>
            <w:proofErr w:type="gramEnd"/>
            <w:r w:rsidRPr="00B9669B">
              <w:rPr>
                <w:szCs w:val="24"/>
              </w:rPr>
              <w:t xml:space="preserve"> daily operation of the agency.  Depreciation recognizes that assets deteriorate and lose usefulness overtime through regular use.  </w:t>
            </w:r>
          </w:p>
        </w:tc>
        <w:tc>
          <w:tcPr>
            <w:tcW w:w="1440" w:type="dxa"/>
          </w:tcPr>
          <w:p w14:paraId="513E5EEF" w14:textId="77777777" w:rsidR="004955A0" w:rsidRPr="002D7748" w:rsidRDefault="004955A0" w:rsidP="004955A0">
            <w:pPr>
              <w:spacing w:after="80"/>
            </w:pPr>
            <w:r w:rsidRPr="002D7748">
              <w:t>Section _.8</w:t>
            </w:r>
          </w:p>
        </w:tc>
      </w:tr>
      <w:tr w:rsidR="004955A0" w:rsidRPr="00B9669B" w14:paraId="0E21B583" w14:textId="77777777" w:rsidTr="004955A0">
        <w:trPr>
          <w:cantSplit/>
        </w:trPr>
        <w:tc>
          <w:tcPr>
            <w:tcW w:w="8478" w:type="dxa"/>
          </w:tcPr>
          <w:p w14:paraId="2AC18EB3" w14:textId="77777777" w:rsidR="004955A0" w:rsidRPr="00B9669B" w:rsidRDefault="004955A0" w:rsidP="004955A0">
            <w:pPr>
              <w:rPr>
                <w:szCs w:val="24"/>
              </w:rPr>
            </w:pPr>
            <w:r w:rsidRPr="00B9669B">
              <w:rPr>
                <w:szCs w:val="24"/>
                <w:u w:val="single"/>
              </w:rPr>
              <w:lastRenderedPageBreak/>
              <w:t>Disallowance</w:t>
            </w:r>
            <w:r w:rsidRPr="00B9669B">
              <w:rPr>
                <w:szCs w:val="24"/>
              </w:rPr>
              <w:t xml:space="preserve">.  Amounts for which the Grantor has determined a violation of program </w:t>
            </w:r>
            <w:r>
              <w:rPr>
                <w:szCs w:val="24"/>
              </w:rPr>
              <w:t xml:space="preserve">compliance requirements, terms of the grant award, or other program specifications and </w:t>
            </w:r>
            <w:r w:rsidRPr="00B9669B">
              <w:rPr>
                <w:szCs w:val="24"/>
              </w:rPr>
              <w:t xml:space="preserve">rules and determined that resources must be returned to the grantor.  Negotiation is required after the identification of questioned cost to determine the existence of an amount of a disallowance. </w:t>
            </w:r>
          </w:p>
        </w:tc>
        <w:tc>
          <w:tcPr>
            <w:tcW w:w="1440" w:type="dxa"/>
          </w:tcPr>
          <w:p w14:paraId="5E8C42A4" w14:textId="77777777" w:rsidR="004955A0" w:rsidRDefault="004955A0" w:rsidP="004955A0">
            <w:pPr>
              <w:spacing w:after="80"/>
            </w:pPr>
            <w:r w:rsidRPr="002D7748">
              <w:t xml:space="preserve">General </w:t>
            </w:r>
          </w:p>
          <w:p w14:paraId="45E570B5" w14:textId="77777777" w:rsidR="004955A0" w:rsidRPr="002D7748" w:rsidRDefault="004955A0" w:rsidP="004955A0">
            <w:pPr>
              <w:spacing w:before="40" w:after="80"/>
              <w:rPr>
                <w:szCs w:val="24"/>
              </w:rPr>
            </w:pPr>
            <w:r w:rsidRPr="002D7748">
              <w:t>Section _.14</w:t>
            </w:r>
          </w:p>
        </w:tc>
      </w:tr>
      <w:tr w:rsidR="004955A0" w:rsidRPr="00B9669B" w14:paraId="5E021BCF" w14:textId="77777777" w:rsidTr="004955A0">
        <w:trPr>
          <w:cantSplit/>
        </w:trPr>
        <w:tc>
          <w:tcPr>
            <w:tcW w:w="8478" w:type="dxa"/>
          </w:tcPr>
          <w:p w14:paraId="3E3D0954" w14:textId="77777777" w:rsidR="004955A0" w:rsidRPr="00B9669B" w:rsidRDefault="004955A0" w:rsidP="004955A0">
            <w:r w:rsidRPr="00B9669B">
              <w:rPr>
                <w:u w:val="single"/>
              </w:rPr>
              <w:t>Disbursement Vouchers.</w:t>
            </w:r>
            <w:r w:rsidRPr="00B9669B">
              <w:t xml:space="preserve">  A request for payment through cash disbursement in the form of a check.</w:t>
            </w:r>
          </w:p>
        </w:tc>
        <w:tc>
          <w:tcPr>
            <w:tcW w:w="1440" w:type="dxa"/>
          </w:tcPr>
          <w:p w14:paraId="469BB1D5" w14:textId="77777777" w:rsidR="004955A0" w:rsidRPr="002D7748" w:rsidRDefault="004955A0" w:rsidP="004955A0">
            <w:pPr>
              <w:spacing w:after="80"/>
            </w:pPr>
            <w:r w:rsidRPr="002D7748">
              <w:t>Section _.18</w:t>
            </w:r>
          </w:p>
        </w:tc>
      </w:tr>
      <w:tr w:rsidR="004955A0" w:rsidRPr="00B9669B" w14:paraId="14C370A7" w14:textId="77777777" w:rsidTr="004955A0">
        <w:trPr>
          <w:cantSplit/>
        </w:trPr>
        <w:tc>
          <w:tcPr>
            <w:tcW w:w="8478" w:type="dxa"/>
          </w:tcPr>
          <w:p w14:paraId="11F1AF77" w14:textId="77777777" w:rsidR="004955A0" w:rsidRPr="00B9669B" w:rsidRDefault="004955A0" w:rsidP="004955A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Easements</w:t>
            </w:r>
            <w:r w:rsidRPr="00B9669B">
              <w:rPr>
                <w:szCs w:val="24"/>
              </w:rPr>
              <w:t xml:space="preserve">.  An easement gives one party (party </w:t>
            </w:r>
            <w:r w:rsidRPr="00B9669B">
              <w:rPr>
                <w:i/>
                <w:iCs/>
                <w:szCs w:val="24"/>
              </w:rPr>
              <w:t>A</w:t>
            </w:r>
            <w:r w:rsidRPr="00B9669B">
              <w:rPr>
                <w:szCs w:val="24"/>
              </w:rPr>
              <w:t xml:space="preserve">) the right to go onto, and/or to use, another party’s (party </w:t>
            </w:r>
            <w:r w:rsidRPr="00B9669B">
              <w:rPr>
                <w:i/>
                <w:iCs/>
                <w:szCs w:val="24"/>
              </w:rPr>
              <w:t>B</w:t>
            </w:r>
            <w:r w:rsidRPr="00B9669B">
              <w:rPr>
                <w:szCs w:val="24"/>
              </w:rPr>
              <w:t xml:space="preserve">’s) property for specified purposes without disturbing party </w:t>
            </w:r>
            <w:r w:rsidRPr="00B9669B">
              <w:rPr>
                <w:i/>
                <w:iCs/>
                <w:szCs w:val="24"/>
              </w:rPr>
              <w:t>B</w:t>
            </w:r>
            <w:r w:rsidRPr="00B9669B">
              <w:rPr>
                <w:szCs w:val="24"/>
              </w:rPr>
              <w:t xml:space="preserve">’s ownership of or ability to use the property for other purposes.  For example, a conservation easement is a legal agreement a property owner makes to restrict the type and amount of development that may take place on the property.  The easement spells out the rights the landowner retains and the restrictions on use of the property.  Each of these rights and restrictions is negotiated between the landowner and the State agency that holds the easement.  Agencies should report easements as part of the Non-Depreciable Intangible Assets category.  </w:t>
            </w:r>
          </w:p>
        </w:tc>
        <w:tc>
          <w:tcPr>
            <w:tcW w:w="1440" w:type="dxa"/>
          </w:tcPr>
          <w:p w14:paraId="7FE524D8" w14:textId="77777777" w:rsidR="004955A0" w:rsidRPr="002D7748" w:rsidRDefault="004955A0" w:rsidP="004955A0">
            <w:pPr>
              <w:spacing w:after="80"/>
            </w:pPr>
            <w:r w:rsidRPr="002D7748">
              <w:t>Section _.8</w:t>
            </w:r>
          </w:p>
        </w:tc>
      </w:tr>
      <w:tr w:rsidR="004955A0" w:rsidRPr="00B9669B" w14:paraId="2A4C637D" w14:textId="77777777" w:rsidTr="004955A0">
        <w:trPr>
          <w:cantSplit/>
        </w:trPr>
        <w:tc>
          <w:tcPr>
            <w:tcW w:w="8478" w:type="dxa"/>
          </w:tcPr>
          <w:p w14:paraId="28C565A6" w14:textId="77777777" w:rsidR="004955A0" w:rsidRPr="00B9669B" w:rsidRDefault="004955A0" w:rsidP="004955A0">
            <w:pPr>
              <w:spacing w:line="240" w:lineRule="exact"/>
              <w:rPr>
                <w:szCs w:val="24"/>
              </w:rPr>
            </w:pPr>
            <w:r w:rsidRPr="00B9669B">
              <w:rPr>
                <w:szCs w:val="24"/>
                <w:u w:val="single"/>
              </w:rPr>
              <w:t>Eligibility Requirement</w:t>
            </w:r>
            <w:r w:rsidRPr="00B9669B">
              <w:rPr>
                <w:szCs w:val="24"/>
              </w:rPr>
              <w:t xml:space="preserve">.  </w:t>
            </w:r>
            <w:proofErr w:type="gramStart"/>
            <w:r w:rsidRPr="00B9669B">
              <w:rPr>
                <w:szCs w:val="24"/>
              </w:rPr>
              <w:t>A condition,</w:t>
            </w:r>
            <w:proofErr w:type="gramEnd"/>
            <w:r w:rsidRPr="00B9669B">
              <w:rPr>
                <w:szCs w:val="24"/>
              </w:rPr>
              <w:t xml:space="preserve"> established either by enabling legislation or by a grantor or contributor, which must be met in order to qualify for revenue recognition (and in certain cases receipt of resources).  </w:t>
            </w:r>
          </w:p>
        </w:tc>
        <w:tc>
          <w:tcPr>
            <w:tcW w:w="1440" w:type="dxa"/>
          </w:tcPr>
          <w:p w14:paraId="37D966E0" w14:textId="77777777" w:rsidR="004955A0" w:rsidRPr="002D7748" w:rsidRDefault="004955A0" w:rsidP="004955A0">
            <w:pPr>
              <w:spacing w:after="80"/>
            </w:pPr>
            <w:r w:rsidRPr="002D7748">
              <w:t>Section _.3</w:t>
            </w:r>
          </w:p>
        </w:tc>
      </w:tr>
      <w:tr w:rsidR="004955A0" w:rsidRPr="00B9669B" w14:paraId="2840B6E0" w14:textId="77777777" w:rsidTr="004955A0">
        <w:trPr>
          <w:cantSplit/>
        </w:trPr>
        <w:tc>
          <w:tcPr>
            <w:tcW w:w="8478" w:type="dxa"/>
          </w:tcPr>
          <w:p w14:paraId="4F916A28" w14:textId="77777777" w:rsidR="004955A0" w:rsidRPr="00B9669B" w:rsidRDefault="004955A0" w:rsidP="004955A0">
            <w:r w:rsidRPr="00B9669B">
              <w:rPr>
                <w:u w:val="single"/>
              </w:rPr>
              <w:t>Employees Earning Annual Leave</w:t>
            </w:r>
            <w:r w:rsidRPr="00B9669B">
              <w:t>.  Includes all employees who earn annual leave, regardless of funding source (temporary grant employees) and regardless of whether these employees are full-time or part-time workers.  The number should be expressed in full-time equivalents (FTE’s)</w:t>
            </w:r>
            <w:r>
              <w:t xml:space="preserve"> as calculated based on estimated hours per week worked not based on budgetary positions</w:t>
            </w:r>
            <w:r w:rsidRPr="00B9669B">
              <w:t>.</w:t>
            </w:r>
          </w:p>
        </w:tc>
        <w:tc>
          <w:tcPr>
            <w:tcW w:w="1440" w:type="dxa"/>
          </w:tcPr>
          <w:p w14:paraId="18A25FC5" w14:textId="77777777" w:rsidR="004955A0" w:rsidRPr="002D7748" w:rsidRDefault="004955A0" w:rsidP="004955A0">
            <w:pPr>
              <w:spacing w:after="80"/>
            </w:pPr>
            <w:r w:rsidRPr="002D7748">
              <w:t>Section _.17</w:t>
            </w:r>
          </w:p>
        </w:tc>
      </w:tr>
      <w:tr w:rsidR="004955A0" w:rsidRPr="00B9669B" w14:paraId="4FD8E1D3" w14:textId="77777777" w:rsidTr="004955A0">
        <w:trPr>
          <w:cantSplit/>
        </w:trPr>
        <w:tc>
          <w:tcPr>
            <w:tcW w:w="8478" w:type="dxa"/>
          </w:tcPr>
          <w:p w14:paraId="55B46C97" w14:textId="77777777" w:rsidR="004955A0" w:rsidRPr="00B9669B" w:rsidRDefault="004955A0" w:rsidP="004955A0">
            <w:pPr>
              <w:spacing w:line="240" w:lineRule="exact"/>
              <w:rPr>
                <w:szCs w:val="24"/>
              </w:rPr>
            </w:pPr>
            <w:r w:rsidRPr="00B9669B">
              <w:rPr>
                <w:szCs w:val="24"/>
                <w:u w:val="single"/>
              </w:rPr>
              <w:t>End Recipient</w:t>
            </w:r>
            <w:r w:rsidRPr="00B9669B">
              <w:rPr>
                <w:szCs w:val="24"/>
              </w:rPr>
              <w:t>.  The party that directly expends program funds for items such as goods, service, and contracts, including indirect costs remitted to the General Fund.</w:t>
            </w:r>
            <w:r>
              <w:rPr>
                <w:szCs w:val="24"/>
              </w:rPr>
              <w:t xml:space="preserve">  See opposing concept in Pass-through Entities.</w:t>
            </w:r>
          </w:p>
        </w:tc>
        <w:tc>
          <w:tcPr>
            <w:tcW w:w="1440" w:type="dxa"/>
          </w:tcPr>
          <w:p w14:paraId="05B6C60F" w14:textId="77777777" w:rsidR="004955A0" w:rsidRPr="002D7748" w:rsidRDefault="004955A0" w:rsidP="004955A0">
            <w:pPr>
              <w:spacing w:after="80"/>
            </w:pPr>
            <w:r w:rsidRPr="002D7748">
              <w:t>Section _.3</w:t>
            </w:r>
          </w:p>
        </w:tc>
      </w:tr>
      <w:tr w:rsidR="004955A0" w:rsidRPr="00B9669B" w14:paraId="7C0D8AA9" w14:textId="77777777" w:rsidTr="004955A0">
        <w:trPr>
          <w:cantSplit/>
        </w:trPr>
        <w:tc>
          <w:tcPr>
            <w:tcW w:w="8478" w:type="dxa"/>
          </w:tcPr>
          <w:p w14:paraId="4E5C3438" w14:textId="77777777" w:rsidR="004955A0" w:rsidRPr="00B9669B" w:rsidRDefault="004955A0" w:rsidP="004955A0">
            <w:r w:rsidRPr="00B9669B">
              <w:rPr>
                <w:u w:val="single"/>
              </w:rPr>
              <w:t>Estimated Economic Life of Leased Property</w:t>
            </w:r>
            <w:r w:rsidRPr="00B9669B">
              <w:t xml:space="preserve">.  The estimated remaining period during which the property is expected to be economically usable by one or more users, with normal repairs and maintenance, for the purpose for which it was intended at the inception of the lease.  </w:t>
            </w:r>
          </w:p>
        </w:tc>
        <w:tc>
          <w:tcPr>
            <w:tcW w:w="1440" w:type="dxa"/>
          </w:tcPr>
          <w:p w14:paraId="424C16A5" w14:textId="77777777" w:rsidR="004955A0" w:rsidRPr="002D7748" w:rsidRDefault="004955A0" w:rsidP="004955A0">
            <w:pPr>
              <w:spacing w:after="80"/>
            </w:pPr>
            <w:r w:rsidRPr="002D7748">
              <w:t>Section _.9</w:t>
            </w:r>
          </w:p>
        </w:tc>
      </w:tr>
      <w:tr w:rsidR="004955A0" w:rsidRPr="00B9669B" w14:paraId="2ADE711E" w14:textId="77777777" w:rsidTr="004955A0">
        <w:trPr>
          <w:cantSplit/>
        </w:trPr>
        <w:tc>
          <w:tcPr>
            <w:tcW w:w="8478" w:type="dxa"/>
          </w:tcPr>
          <w:p w14:paraId="2E8D639E" w14:textId="77777777" w:rsidR="004955A0" w:rsidRPr="00B9669B" w:rsidRDefault="004955A0" w:rsidP="004955A0">
            <w:pPr>
              <w:rPr>
                <w:szCs w:val="24"/>
                <w:u w:val="single"/>
              </w:rPr>
            </w:pPr>
            <w:r w:rsidRPr="00B9669B">
              <w:rPr>
                <w:szCs w:val="24"/>
                <w:u w:val="single"/>
              </w:rPr>
              <w:t>Exchange Transactions.</w:t>
            </w:r>
            <w:r w:rsidRPr="00B9669B">
              <w:rPr>
                <w:szCs w:val="24"/>
              </w:rPr>
              <w:t xml:space="preserve">  A transaction entered by two willing parties in which one party gives up value in exchange for the receipt of goods or services of similar value.</w:t>
            </w:r>
          </w:p>
        </w:tc>
        <w:tc>
          <w:tcPr>
            <w:tcW w:w="1440" w:type="dxa"/>
          </w:tcPr>
          <w:p w14:paraId="01335F5F" w14:textId="77777777" w:rsidR="004955A0" w:rsidRPr="002D7748" w:rsidRDefault="004955A0" w:rsidP="004955A0">
            <w:pPr>
              <w:spacing w:after="80"/>
            </w:pPr>
            <w:r w:rsidRPr="002D7748">
              <w:t>Section _.4</w:t>
            </w:r>
          </w:p>
        </w:tc>
      </w:tr>
      <w:tr w:rsidR="004955A0" w:rsidRPr="00B9669B" w14:paraId="4827899F" w14:textId="77777777" w:rsidTr="004955A0">
        <w:trPr>
          <w:cantSplit/>
        </w:trPr>
        <w:tc>
          <w:tcPr>
            <w:tcW w:w="8478" w:type="dxa"/>
          </w:tcPr>
          <w:p w14:paraId="32A648D1" w14:textId="273A032F" w:rsidR="004955A0" w:rsidRPr="00B9669B" w:rsidRDefault="004955A0" w:rsidP="004955A0">
            <w:r w:rsidRPr="00B9669B">
              <w:rPr>
                <w:u w:val="single"/>
              </w:rPr>
              <w:lastRenderedPageBreak/>
              <w:t>Executory Costs</w:t>
            </w:r>
            <w:r w:rsidRPr="00B9669B">
              <w:t>.  Costs included in the required minimum lease payments under a lease</w:t>
            </w:r>
            <w:r>
              <w:t xml:space="preserve"> subject to GASB 87</w:t>
            </w:r>
            <w:r w:rsidRPr="00B9669B">
              <w:t xml:space="preserve"> </w:t>
            </w:r>
            <w:proofErr w:type="gramStart"/>
            <w:r w:rsidRPr="00B9669B">
              <w:t>in excess of</w:t>
            </w:r>
            <w:proofErr w:type="gramEnd"/>
            <w:r w:rsidRPr="00B9669B">
              <w:t xml:space="preserve"> the reduction in the lease obligation.  Executory costs include finance charges, insurance, maintenance, taxes, </w:t>
            </w:r>
            <w:r>
              <w:t>or other administrative charges</w:t>
            </w:r>
            <w:r w:rsidRPr="00B9669B">
              <w:t xml:space="preserve">.  </w:t>
            </w:r>
          </w:p>
        </w:tc>
        <w:tc>
          <w:tcPr>
            <w:tcW w:w="1440" w:type="dxa"/>
          </w:tcPr>
          <w:p w14:paraId="304452C1" w14:textId="77777777" w:rsidR="004955A0" w:rsidRPr="002D7748" w:rsidRDefault="004955A0" w:rsidP="004955A0">
            <w:pPr>
              <w:spacing w:after="80"/>
            </w:pPr>
            <w:r w:rsidRPr="002D7748">
              <w:t>Section _.9</w:t>
            </w:r>
          </w:p>
        </w:tc>
      </w:tr>
      <w:tr w:rsidR="004955A0" w:rsidRPr="00B9669B" w14:paraId="66D3C24B" w14:textId="77777777" w:rsidTr="004955A0">
        <w:trPr>
          <w:cantSplit/>
        </w:trPr>
        <w:tc>
          <w:tcPr>
            <w:tcW w:w="8478" w:type="dxa"/>
          </w:tcPr>
          <w:p w14:paraId="2FD7703E" w14:textId="77777777"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sidRPr="00B9669B">
              <w:rPr>
                <w:szCs w:val="24"/>
                <w:u w:val="single"/>
              </w:rPr>
              <w:t>Exhaustible Work of Art or Historical Treasure</w:t>
            </w:r>
            <w:r w:rsidRPr="00B9669B">
              <w:rPr>
                <w:szCs w:val="24"/>
              </w:rPr>
              <w:t>.  A work or treasure is considered exhaustible if its useful life is expected to be diminished by its display or by its educational or research uses.</w:t>
            </w:r>
          </w:p>
        </w:tc>
        <w:tc>
          <w:tcPr>
            <w:tcW w:w="1440" w:type="dxa"/>
          </w:tcPr>
          <w:p w14:paraId="76F9C3A7" w14:textId="77777777" w:rsidR="004955A0" w:rsidRPr="002D7748" w:rsidRDefault="004955A0" w:rsidP="004955A0">
            <w:pPr>
              <w:spacing w:after="80"/>
            </w:pPr>
            <w:r w:rsidRPr="002D7748">
              <w:t>Section _.8</w:t>
            </w:r>
          </w:p>
        </w:tc>
      </w:tr>
      <w:tr w:rsidR="004955A0" w:rsidRPr="00B9669B" w14:paraId="6107E32B" w14:textId="77777777" w:rsidTr="004955A0">
        <w:trPr>
          <w:cantSplit/>
        </w:trPr>
        <w:tc>
          <w:tcPr>
            <w:tcW w:w="8478" w:type="dxa"/>
          </w:tcPr>
          <w:p w14:paraId="64D1B559" w14:textId="77777777" w:rsidR="004955A0" w:rsidRPr="00B9669B" w:rsidRDefault="004955A0" w:rsidP="004955A0">
            <w:pPr>
              <w:rPr>
                <w:szCs w:val="24"/>
              </w:rPr>
            </w:pPr>
            <w:r w:rsidRPr="00B9669B">
              <w:rPr>
                <w:szCs w:val="24"/>
                <w:u w:val="single"/>
              </w:rPr>
              <w:t>External Sources.</w:t>
            </w:r>
            <w:r w:rsidRPr="00B9669B">
              <w:rPr>
                <w:szCs w:val="24"/>
              </w:rPr>
              <w:t xml:space="preserve">  Parties external to State government providing financial resources to an agency of the State of South Carolina.  See Section 2.0 for entities included in the State Reporting Entity.</w:t>
            </w:r>
          </w:p>
        </w:tc>
        <w:tc>
          <w:tcPr>
            <w:tcW w:w="1440" w:type="dxa"/>
          </w:tcPr>
          <w:p w14:paraId="5C270C12" w14:textId="77777777" w:rsidR="004955A0" w:rsidRDefault="004955A0" w:rsidP="004955A0">
            <w:pPr>
              <w:spacing w:after="80"/>
            </w:pPr>
            <w:r w:rsidRPr="002D7748">
              <w:t>Section _.4</w:t>
            </w:r>
          </w:p>
          <w:p w14:paraId="6106E83A" w14:textId="77777777" w:rsidR="004955A0" w:rsidRPr="002D7748" w:rsidRDefault="004955A0" w:rsidP="004955A0">
            <w:pPr>
              <w:spacing w:before="40" w:after="80"/>
            </w:pPr>
            <w:r w:rsidRPr="002D7748">
              <w:t>Section _.20</w:t>
            </w:r>
          </w:p>
        </w:tc>
      </w:tr>
      <w:tr w:rsidR="004955A0" w:rsidRPr="00B9669B" w14:paraId="65D55E26" w14:textId="77777777" w:rsidTr="004955A0">
        <w:trPr>
          <w:cantSplit/>
        </w:trPr>
        <w:tc>
          <w:tcPr>
            <w:tcW w:w="8478" w:type="dxa"/>
          </w:tcPr>
          <w:p w14:paraId="06A2CA42" w14:textId="77777777" w:rsidR="004955A0" w:rsidRPr="00B9669B" w:rsidRDefault="004955A0" w:rsidP="004955A0">
            <w:r w:rsidRPr="00B9669B">
              <w:rPr>
                <w:u w:val="single"/>
              </w:rPr>
              <w:t>Fair Value of Rental</w:t>
            </w:r>
            <w:r w:rsidRPr="00B9669B">
              <w:t xml:space="preserve">.  The rental payment stream that would be agreed upon between a willing lessor and a willing lessee where both have knowledge of all relevant facts.  </w:t>
            </w:r>
          </w:p>
        </w:tc>
        <w:tc>
          <w:tcPr>
            <w:tcW w:w="1440" w:type="dxa"/>
          </w:tcPr>
          <w:p w14:paraId="2E35ED17" w14:textId="77777777" w:rsidR="004955A0" w:rsidRPr="002D7748" w:rsidRDefault="004955A0" w:rsidP="004955A0">
            <w:pPr>
              <w:keepLines/>
              <w:spacing w:after="80"/>
            </w:pPr>
            <w:r w:rsidRPr="002D7748">
              <w:t>Section _.9</w:t>
            </w:r>
          </w:p>
        </w:tc>
      </w:tr>
      <w:tr w:rsidR="004955A0" w:rsidRPr="00B9669B" w14:paraId="5418A000" w14:textId="77777777" w:rsidTr="004955A0">
        <w:trPr>
          <w:cantSplit/>
        </w:trPr>
        <w:tc>
          <w:tcPr>
            <w:tcW w:w="8478" w:type="dxa"/>
          </w:tcPr>
          <w:p w14:paraId="4589CCFE" w14:textId="77777777" w:rsidR="004955A0"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B9669B">
              <w:rPr>
                <w:szCs w:val="24"/>
                <w:u w:val="single"/>
              </w:rPr>
              <w:t>Fair Value</w:t>
            </w:r>
            <w:r w:rsidRPr="00B9669B">
              <w:rPr>
                <w:szCs w:val="24"/>
              </w:rPr>
              <w:t xml:space="preserve">.  </w:t>
            </w:r>
            <w:r>
              <w:rPr>
                <w:szCs w:val="24"/>
              </w:rPr>
              <w:t>T</w:t>
            </w:r>
            <w:r w:rsidRPr="00B9669B">
              <w:rPr>
                <w:szCs w:val="24"/>
              </w:rPr>
              <w:t xml:space="preserve">he price at which an asset would </w:t>
            </w:r>
            <w:r>
              <w:rPr>
                <w:szCs w:val="24"/>
              </w:rPr>
              <w:t xml:space="preserve">be exchanged </w:t>
            </w:r>
            <w:r w:rsidRPr="00B9669B">
              <w:rPr>
                <w:szCs w:val="24"/>
              </w:rPr>
              <w:t>if both buyer and seller:</w:t>
            </w:r>
          </w:p>
          <w:p w14:paraId="528A0969" w14:textId="77777777" w:rsidR="004955A0" w:rsidRPr="00F54DE6" w:rsidRDefault="004955A0" w:rsidP="004955A0">
            <w:pPr>
              <w:pStyle w:val="ListParagraph"/>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0"/>
              <w:rPr>
                <w:szCs w:val="24"/>
              </w:rPr>
            </w:pPr>
            <w:r w:rsidRPr="00F54DE6">
              <w:rPr>
                <w:szCs w:val="24"/>
              </w:rPr>
              <w:t>Are willing parties</w:t>
            </w:r>
            <w:r>
              <w:rPr>
                <w:szCs w:val="24"/>
              </w:rPr>
              <w:t xml:space="preserve"> (this excludes a forced or liquidation sale)</w:t>
            </w:r>
            <w:r w:rsidRPr="00F54DE6">
              <w:rPr>
                <w:szCs w:val="24"/>
              </w:rPr>
              <w:t>.</w:t>
            </w:r>
          </w:p>
          <w:p w14:paraId="1497D285" w14:textId="77777777" w:rsidR="004955A0" w:rsidRDefault="004955A0" w:rsidP="004955A0">
            <w:pPr>
              <w:pStyle w:val="ListParagraph"/>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B9669B">
              <w:rPr>
                <w:szCs w:val="24"/>
              </w:rPr>
              <w:t>Have knowledge of all related facts.</w:t>
            </w:r>
          </w:p>
          <w:p w14:paraId="1F73F5D6" w14:textId="77777777" w:rsidR="004955A0"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0"/>
              <w:rPr>
                <w:szCs w:val="24"/>
              </w:rPr>
            </w:pPr>
            <w:r w:rsidRPr="00B9669B">
              <w:rPr>
                <w:szCs w:val="24"/>
              </w:rPr>
              <w:t>Information helpful in determining fair value includes:</w:t>
            </w:r>
          </w:p>
          <w:p w14:paraId="3EAACB17" w14:textId="77777777" w:rsidR="004955A0" w:rsidRPr="00F54DE6" w:rsidRDefault="004955A0" w:rsidP="004955A0">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0"/>
              <w:rPr>
                <w:szCs w:val="24"/>
              </w:rPr>
            </w:pPr>
            <w:r>
              <w:rPr>
                <w:szCs w:val="24"/>
              </w:rPr>
              <w:t xml:space="preserve">Readily Determinable </w:t>
            </w:r>
            <w:r w:rsidRPr="00B9669B">
              <w:rPr>
                <w:szCs w:val="24"/>
              </w:rPr>
              <w:t>Market quotations</w:t>
            </w:r>
            <w:r>
              <w:rPr>
                <w:szCs w:val="24"/>
              </w:rPr>
              <w:t xml:space="preserve"> (for investments published sales prices on the valuation date)</w:t>
            </w:r>
            <w:r w:rsidRPr="00B9669B">
              <w:rPr>
                <w:szCs w:val="24"/>
              </w:rPr>
              <w:t>.</w:t>
            </w:r>
          </w:p>
          <w:p w14:paraId="393DFB9C" w14:textId="77777777" w:rsidR="004955A0" w:rsidRDefault="004955A0" w:rsidP="004955A0">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F54DE6">
              <w:rPr>
                <w:szCs w:val="24"/>
              </w:rPr>
              <w:t>Independent appraisals.</w:t>
            </w:r>
          </w:p>
          <w:p w14:paraId="19EA69BD" w14:textId="77777777" w:rsidR="004955A0" w:rsidRDefault="004955A0" w:rsidP="004955A0">
            <w:pPr>
              <w:pStyle w:val="ListParagraph"/>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B9669B">
              <w:rPr>
                <w:szCs w:val="24"/>
              </w:rPr>
              <w:t>Data regarding actual sales of similar assets in an appropriate time frame.</w:t>
            </w:r>
          </w:p>
          <w:p w14:paraId="50E737DF" w14:textId="77777777" w:rsidR="004955A0" w:rsidRPr="00F54DE6"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rPr>
                <w:szCs w:val="24"/>
              </w:rPr>
            </w:pPr>
            <w:r>
              <w:rPr>
                <w:szCs w:val="24"/>
              </w:rPr>
              <w:t>An a</w:t>
            </w:r>
            <w:r w:rsidRPr="00B9669B">
              <w:rPr>
                <w:szCs w:val="24"/>
              </w:rPr>
              <w:t>sset received through donation should be recorded at its fair value on the date of donation.</w:t>
            </w:r>
          </w:p>
        </w:tc>
        <w:tc>
          <w:tcPr>
            <w:tcW w:w="1440" w:type="dxa"/>
          </w:tcPr>
          <w:p w14:paraId="51575967" w14:textId="77777777" w:rsidR="004955A0" w:rsidRDefault="004955A0" w:rsidP="004955A0">
            <w:pPr>
              <w:keepLines/>
              <w:spacing w:after="80"/>
            </w:pPr>
            <w:r w:rsidRPr="002D7748">
              <w:t>Section _.1</w:t>
            </w:r>
          </w:p>
          <w:p w14:paraId="1F0D93C5" w14:textId="77777777" w:rsidR="004955A0" w:rsidRDefault="004955A0" w:rsidP="004955A0">
            <w:pPr>
              <w:spacing w:before="40" w:after="80"/>
            </w:pPr>
            <w:r w:rsidRPr="002D7748">
              <w:t>Section _.8</w:t>
            </w:r>
          </w:p>
          <w:p w14:paraId="66EAADC1" w14:textId="77777777" w:rsidR="004955A0" w:rsidRPr="002D7748" w:rsidRDefault="004955A0" w:rsidP="004955A0">
            <w:pPr>
              <w:spacing w:before="40" w:after="80"/>
            </w:pPr>
            <w:r w:rsidRPr="002D7748">
              <w:t>Section _.9</w:t>
            </w:r>
          </w:p>
        </w:tc>
      </w:tr>
      <w:tr w:rsidR="004955A0" w:rsidRPr="00B9669B" w14:paraId="581F5934" w14:textId="77777777" w:rsidTr="004955A0">
        <w:trPr>
          <w:cantSplit/>
        </w:trPr>
        <w:tc>
          <w:tcPr>
            <w:tcW w:w="8478" w:type="dxa"/>
          </w:tcPr>
          <w:p w14:paraId="4FBF0680" w14:textId="77777777" w:rsidR="004955A0" w:rsidRPr="00B9669B" w:rsidRDefault="004955A0" w:rsidP="004955A0">
            <w:r w:rsidRPr="00B9669B">
              <w:rPr>
                <w:u w:val="single"/>
              </w:rPr>
              <w:t>First</w:t>
            </w:r>
            <w:r w:rsidRPr="00B9669B">
              <w:rPr>
                <w:u w:val="single"/>
              </w:rPr>
              <w:noBreakHyphen/>
              <w:t xml:space="preserve">In, </w:t>
            </w:r>
            <w:proofErr w:type="gramStart"/>
            <w:r w:rsidRPr="00B9669B">
              <w:rPr>
                <w:u w:val="single"/>
              </w:rPr>
              <w:t>First</w:t>
            </w:r>
            <w:proofErr w:type="gramEnd"/>
            <w:r w:rsidRPr="00B9669B">
              <w:rPr>
                <w:u w:val="single"/>
              </w:rPr>
              <w:noBreakHyphen/>
              <w:t>Out (FIFO)</w:t>
            </w:r>
            <w:r w:rsidRPr="00B9669B">
              <w:t xml:space="preserve">.  An inventory valuation method in which the assumption for valuation is that as inventory is pulled the oldest items are issued first.  This approximates the last invoice method when inventory is controlled effectively.  </w:t>
            </w:r>
          </w:p>
        </w:tc>
        <w:tc>
          <w:tcPr>
            <w:tcW w:w="1440" w:type="dxa"/>
          </w:tcPr>
          <w:p w14:paraId="6E6948EB" w14:textId="77777777" w:rsidR="004955A0" w:rsidRPr="002D7748" w:rsidRDefault="004955A0" w:rsidP="004955A0">
            <w:pPr>
              <w:keepLines/>
              <w:spacing w:after="80"/>
            </w:pPr>
            <w:r w:rsidRPr="002D7748">
              <w:t>Section _.6</w:t>
            </w:r>
          </w:p>
        </w:tc>
      </w:tr>
      <w:tr w:rsidR="004955A0" w:rsidRPr="00B9669B" w14:paraId="7FD42404" w14:textId="77777777" w:rsidTr="004955A0">
        <w:trPr>
          <w:cantSplit/>
        </w:trPr>
        <w:tc>
          <w:tcPr>
            <w:tcW w:w="8478" w:type="dxa"/>
          </w:tcPr>
          <w:p w14:paraId="45AE0737" w14:textId="77777777" w:rsidR="004955A0" w:rsidRPr="00B9669B" w:rsidRDefault="004955A0" w:rsidP="004955A0">
            <w:r w:rsidRPr="00B9669B">
              <w:rPr>
                <w:u w:val="single"/>
              </w:rPr>
              <w:t>Fiscal Funding Clause</w:t>
            </w:r>
            <w:r w:rsidRPr="00B9669B">
              <w:t xml:space="preserve">.  A lease agreement provision which provides that the State may cancel the lease if the General Assembly fails to appropriate adequate funds.  </w:t>
            </w:r>
            <w:r>
              <w:t>If it exists in the lease agreement the agreement is noncancelable.</w:t>
            </w:r>
          </w:p>
        </w:tc>
        <w:tc>
          <w:tcPr>
            <w:tcW w:w="1440" w:type="dxa"/>
          </w:tcPr>
          <w:p w14:paraId="4057B554" w14:textId="77777777" w:rsidR="004955A0" w:rsidRPr="002D7748" w:rsidRDefault="004955A0" w:rsidP="004955A0">
            <w:pPr>
              <w:keepLines/>
              <w:spacing w:after="80"/>
            </w:pPr>
            <w:r w:rsidRPr="002D7748">
              <w:t>Section _.9</w:t>
            </w:r>
          </w:p>
        </w:tc>
      </w:tr>
      <w:tr w:rsidR="004955A0" w:rsidRPr="00B9669B" w14:paraId="42D28649" w14:textId="77777777" w:rsidTr="004955A0">
        <w:trPr>
          <w:cantSplit/>
        </w:trPr>
        <w:tc>
          <w:tcPr>
            <w:tcW w:w="8478" w:type="dxa"/>
          </w:tcPr>
          <w:p w14:paraId="087698C1" w14:textId="77777777" w:rsidR="004955A0" w:rsidRPr="00B9669B" w:rsidRDefault="004955A0" w:rsidP="004955A0">
            <w:pPr>
              <w:spacing w:before="100" w:after="100"/>
            </w:pPr>
            <w:r w:rsidRPr="00B9669B">
              <w:rPr>
                <w:u w:val="single"/>
              </w:rPr>
              <w:t>Fraud</w:t>
            </w:r>
            <w:r w:rsidRPr="00B9669B">
              <w:t xml:space="preserve">.  An intentional act that results in a material misstatement of accounting records due to deception and for unlawful gain.  </w:t>
            </w:r>
          </w:p>
        </w:tc>
        <w:tc>
          <w:tcPr>
            <w:tcW w:w="1440" w:type="dxa"/>
          </w:tcPr>
          <w:p w14:paraId="48CEDBC9" w14:textId="77777777" w:rsidR="004955A0" w:rsidRPr="002D7748" w:rsidRDefault="004955A0" w:rsidP="004955A0">
            <w:pPr>
              <w:keepLines/>
              <w:spacing w:after="80"/>
            </w:pPr>
            <w:r w:rsidRPr="002D7748">
              <w:t>General</w:t>
            </w:r>
          </w:p>
        </w:tc>
      </w:tr>
      <w:tr w:rsidR="004955A0" w:rsidRPr="00B9669B" w14:paraId="237F2EA4" w14:textId="77777777" w:rsidTr="004955A0">
        <w:trPr>
          <w:cantSplit/>
        </w:trPr>
        <w:tc>
          <w:tcPr>
            <w:tcW w:w="8478" w:type="dxa"/>
          </w:tcPr>
          <w:p w14:paraId="21767750"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rPr>
            </w:pPr>
            <w:r w:rsidRPr="001466FC">
              <w:rPr>
                <w:szCs w:val="24"/>
                <w:u w:val="single"/>
              </w:rPr>
              <w:lastRenderedPageBreak/>
              <w:t>Future Benefit.</w:t>
            </w:r>
            <w:r w:rsidRPr="00B9669B">
              <w:rPr>
                <w:szCs w:val="24"/>
              </w:rPr>
              <w:t xml:space="preserve">  An advantage received from an exchange transaction which will not be recognized until after the financial exchange of the transaction.  Advantages may include managerial timing of the use of resources or the receipt from the </w:t>
            </w:r>
            <w:proofErr w:type="gramStart"/>
            <w:r w:rsidRPr="00B9669B">
              <w:rPr>
                <w:szCs w:val="24"/>
              </w:rPr>
              <w:t>counter-party</w:t>
            </w:r>
            <w:proofErr w:type="gramEnd"/>
            <w:r w:rsidRPr="00B9669B">
              <w:rPr>
                <w:szCs w:val="24"/>
              </w:rPr>
              <w:t xml:space="preserve"> (goods or services) at a later date.</w:t>
            </w:r>
          </w:p>
        </w:tc>
        <w:tc>
          <w:tcPr>
            <w:tcW w:w="1440" w:type="dxa"/>
          </w:tcPr>
          <w:p w14:paraId="58CBF4E7" w14:textId="77777777" w:rsidR="004955A0" w:rsidRPr="002D7748" w:rsidRDefault="004955A0" w:rsidP="004955A0">
            <w:pPr>
              <w:keepLines/>
              <w:spacing w:after="80"/>
            </w:pPr>
            <w:r w:rsidRPr="002D7748">
              <w:t>Section _.7</w:t>
            </w:r>
          </w:p>
        </w:tc>
      </w:tr>
      <w:tr w:rsidR="004955A0" w:rsidRPr="00B9669B" w14:paraId="0D5D497D" w14:textId="77777777" w:rsidTr="004955A0">
        <w:trPr>
          <w:cantSplit/>
        </w:trPr>
        <w:tc>
          <w:tcPr>
            <w:tcW w:w="8478" w:type="dxa"/>
          </w:tcPr>
          <w:p w14:paraId="612D128E" w14:textId="77777777" w:rsidR="004955A0" w:rsidRPr="00B9669B" w:rsidRDefault="004955A0" w:rsidP="004955A0">
            <w:pPr>
              <w:rPr>
                <w:szCs w:val="24"/>
              </w:rPr>
            </w:pPr>
            <w:r w:rsidRPr="00B9669B">
              <w:rPr>
                <w:szCs w:val="24"/>
                <w:u w:val="single"/>
              </w:rPr>
              <w:t>Gain Contingency</w:t>
            </w:r>
            <w:r w:rsidRPr="00B9669B">
              <w:rPr>
                <w:szCs w:val="24"/>
              </w:rPr>
              <w:t>.  Situations involving uncertainty as to possible gain that will be resolved when certain events occur or fail to occur.</w:t>
            </w:r>
          </w:p>
        </w:tc>
        <w:tc>
          <w:tcPr>
            <w:tcW w:w="1440" w:type="dxa"/>
          </w:tcPr>
          <w:p w14:paraId="192DCEA5" w14:textId="77777777" w:rsidR="004955A0" w:rsidRPr="002D7748" w:rsidRDefault="004955A0" w:rsidP="004955A0">
            <w:pPr>
              <w:keepLines/>
              <w:spacing w:after="80"/>
              <w:rPr>
                <w:szCs w:val="24"/>
              </w:rPr>
            </w:pPr>
            <w:r w:rsidRPr="002D7748">
              <w:t>Section _.13</w:t>
            </w:r>
          </w:p>
        </w:tc>
      </w:tr>
      <w:tr w:rsidR="004955A0" w:rsidRPr="00B9669B" w14:paraId="1601851E" w14:textId="77777777" w:rsidTr="004955A0">
        <w:trPr>
          <w:cantSplit/>
        </w:trPr>
        <w:tc>
          <w:tcPr>
            <w:tcW w:w="8478" w:type="dxa"/>
          </w:tcPr>
          <w:p w14:paraId="4ED90711" w14:textId="77777777" w:rsidR="004955A0" w:rsidRPr="00B9669B" w:rsidRDefault="004955A0" w:rsidP="004955A0">
            <w:pPr>
              <w:spacing w:before="100" w:after="100" w:line="240" w:lineRule="exact"/>
            </w:pPr>
            <w:r w:rsidRPr="00B9669B">
              <w:rPr>
                <w:u w:val="single"/>
              </w:rPr>
              <w:t>Grant and Contribution Revenue</w:t>
            </w:r>
            <w:r w:rsidRPr="00B9669B">
              <w:t xml:space="preserve">.  The classification of revenue in which the inflow of resources provided under grant agreements or contributions are reported.  </w:t>
            </w:r>
          </w:p>
        </w:tc>
        <w:tc>
          <w:tcPr>
            <w:tcW w:w="1440" w:type="dxa"/>
          </w:tcPr>
          <w:p w14:paraId="76F0FC07" w14:textId="77777777" w:rsidR="004955A0" w:rsidRPr="002D7748" w:rsidRDefault="004955A0" w:rsidP="004955A0">
            <w:pPr>
              <w:keepLines/>
              <w:spacing w:after="80"/>
            </w:pPr>
            <w:r w:rsidRPr="002D7748">
              <w:t>General</w:t>
            </w:r>
          </w:p>
        </w:tc>
      </w:tr>
      <w:tr w:rsidR="004955A0" w:rsidRPr="00B9669B" w14:paraId="7E807D13" w14:textId="77777777" w:rsidTr="004955A0">
        <w:trPr>
          <w:cantSplit/>
        </w:trPr>
        <w:tc>
          <w:tcPr>
            <w:tcW w:w="8478" w:type="dxa"/>
          </w:tcPr>
          <w:p w14:paraId="535C8B04" w14:textId="77777777" w:rsidR="004955A0" w:rsidRPr="00B9669B" w:rsidRDefault="004955A0" w:rsidP="004955A0">
            <w:pPr>
              <w:spacing w:line="240" w:lineRule="exact"/>
              <w:rPr>
                <w:szCs w:val="24"/>
              </w:rPr>
            </w:pPr>
            <w:r w:rsidRPr="00B9669B">
              <w:rPr>
                <w:szCs w:val="24"/>
                <w:u w:val="words"/>
              </w:rPr>
              <w:t>Grant</w:t>
            </w:r>
            <w:r w:rsidRPr="00B9669B">
              <w:rPr>
                <w:szCs w:val="24"/>
                <w:u w:val="single"/>
              </w:rPr>
              <w:t xml:space="preserve"> </w:t>
            </w:r>
            <w:r w:rsidRPr="00B9669B">
              <w:rPr>
                <w:szCs w:val="24"/>
                <w:u w:val="words"/>
              </w:rPr>
              <w:t>Award</w:t>
            </w:r>
            <w:r w:rsidRPr="00B9669B">
              <w:rPr>
                <w:szCs w:val="24"/>
              </w:rPr>
              <w:t xml:space="preserve">.  </w:t>
            </w:r>
            <w:r w:rsidRPr="00B9669B">
              <w:rPr>
                <w:rFonts w:cs="Courier New"/>
              </w:rPr>
              <w:t xml:space="preserve">An agreement between entities for the provision of resources </w:t>
            </w:r>
            <w:r>
              <w:rPr>
                <w:rFonts w:cs="Courier New"/>
              </w:rPr>
              <w:t xml:space="preserve">(financial or tangible assets also known as financial assistance) </w:t>
            </w:r>
            <w:r w:rsidRPr="00B9669B">
              <w:rPr>
                <w:rFonts w:cs="Courier New"/>
              </w:rPr>
              <w:t xml:space="preserve">from the one entity (the grantor) to another (the grantee).  Grant agreements may be for the purpose of sharing program costs, subsidizing another entity’s programs, or reallocating resources.  </w:t>
            </w:r>
            <w:r>
              <w:rPr>
                <w:rFonts w:cs="Courier New"/>
              </w:rPr>
              <w:t xml:space="preserve">The award agreement outlines </w:t>
            </w:r>
            <w:r w:rsidRPr="00B9669B">
              <w:rPr>
                <w:szCs w:val="24"/>
              </w:rPr>
              <w:t xml:space="preserve">the use of </w:t>
            </w:r>
            <w:r>
              <w:rPr>
                <w:szCs w:val="24"/>
              </w:rPr>
              <w:t>r</w:t>
            </w:r>
            <w:r w:rsidRPr="00B9669B">
              <w:rPr>
                <w:szCs w:val="24"/>
              </w:rPr>
              <w:t>esources by the grantee to accomplish established program objectives of the grantor</w:t>
            </w:r>
            <w:r>
              <w:rPr>
                <w:szCs w:val="24"/>
              </w:rPr>
              <w:t xml:space="preserve"> or for sustenance of the State’s programs</w:t>
            </w:r>
            <w:r w:rsidRPr="00B9669B">
              <w:rPr>
                <w:szCs w:val="24"/>
              </w:rPr>
              <w:t xml:space="preserve">.  </w:t>
            </w:r>
            <w:r w:rsidRPr="00B9669B">
              <w:t xml:space="preserve">If the purpose is designed by the grantor, the revenue is restricted.  </w:t>
            </w:r>
            <w:r w:rsidRPr="00B9669B">
              <w:rPr>
                <w:szCs w:val="24"/>
              </w:rPr>
              <w:t xml:space="preserve">A more formal relationship is established with a grantor than a contributor (donor).  </w:t>
            </w:r>
          </w:p>
        </w:tc>
        <w:tc>
          <w:tcPr>
            <w:tcW w:w="1440" w:type="dxa"/>
          </w:tcPr>
          <w:p w14:paraId="204DFE5C" w14:textId="77777777" w:rsidR="004955A0" w:rsidRDefault="004955A0" w:rsidP="004955A0">
            <w:pPr>
              <w:keepLines/>
              <w:spacing w:after="80"/>
            </w:pPr>
            <w:r w:rsidRPr="002D7748">
              <w:t>General</w:t>
            </w:r>
          </w:p>
          <w:p w14:paraId="6B23C418" w14:textId="77777777" w:rsidR="004955A0" w:rsidRDefault="004955A0" w:rsidP="004955A0">
            <w:pPr>
              <w:spacing w:before="40" w:after="80"/>
            </w:pPr>
            <w:r w:rsidRPr="002D7748">
              <w:t>Section _.3</w:t>
            </w:r>
          </w:p>
          <w:p w14:paraId="5626C128" w14:textId="77777777" w:rsidR="004955A0" w:rsidRDefault="004955A0" w:rsidP="004955A0">
            <w:pPr>
              <w:spacing w:before="40" w:after="80"/>
            </w:pPr>
            <w:r w:rsidRPr="002D7748">
              <w:t>Section _.12</w:t>
            </w:r>
          </w:p>
          <w:p w14:paraId="27CCFFDD" w14:textId="77777777" w:rsidR="004955A0" w:rsidRPr="002D7748" w:rsidRDefault="004955A0" w:rsidP="004955A0">
            <w:pPr>
              <w:spacing w:before="40" w:after="80"/>
            </w:pPr>
            <w:r w:rsidRPr="002D7748">
              <w:t>Section _.14</w:t>
            </w:r>
          </w:p>
        </w:tc>
      </w:tr>
      <w:tr w:rsidR="004955A0" w:rsidRPr="00B9669B" w14:paraId="1734946D" w14:textId="77777777" w:rsidTr="004955A0">
        <w:trPr>
          <w:cantSplit/>
        </w:trPr>
        <w:tc>
          <w:tcPr>
            <w:tcW w:w="8478" w:type="dxa"/>
          </w:tcPr>
          <w:p w14:paraId="224B4029" w14:textId="77777777" w:rsidR="004955A0" w:rsidRPr="00B9669B" w:rsidRDefault="004955A0" w:rsidP="004955A0">
            <w:pPr>
              <w:rPr>
                <w:szCs w:val="24"/>
              </w:rPr>
            </w:pPr>
            <w:r w:rsidRPr="00B9669B">
              <w:rPr>
                <w:szCs w:val="24"/>
                <w:u w:val="single"/>
              </w:rPr>
              <w:t>Grantor</w:t>
            </w:r>
            <w:r w:rsidRPr="00B9669B">
              <w:rPr>
                <w:szCs w:val="24"/>
              </w:rPr>
              <w:t xml:space="preserve">.  An organization that provides </w:t>
            </w:r>
            <w:r w:rsidRPr="00B9669B">
              <w:t xml:space="preserve">resources </w:t>
            </w:r>
            <w:r>
              <w:rPr>
                <w:szCs w:val="24"/>
              </w:rPr>
              <w:t>(</w:t>
            </w:r>
            <w:r w:rsidRPr="00B9669B">
              <w:rPr>
                <w:szCs w:val="24"/>
              </w:rPr>
              <w:t>grant fund</w:t>
            </w:r>
            <w:r>
              <w:rPr>
                <w:szCs w:val="24"/>
              </w:rPr>
              <w:t xml:space="preserve">ing) </w:t>
            </w:r>
            <w:r w:rsidRPr="00B9669B">
              <w:t>for the programs of others</w:t>
            </w:r>
            <w:r w:rsidRPr="00B9669B">
              <w:rPr>
                <w:szCs w:val="24"/>
              </w:rPr>
              <w:t>.  Examples of grantors who provide funds to State agencies include the Federal government, the Corporation for Public Broadcasting, and The Duke Endowment.</w:t>
            </w:r>
          </w:p>
        </w:tc>
        <w:tc>
          <w:tcPr>
            <w:tcW w:w="1440" w:type="dxa"/>
          </w:tcPr>
          <w:p w14:paraId="3BE91AEB" w14:textId="77777777" w:rsidR="004955A0" w:rsidRDefault="004955A0" w:rsidP="004955A0">
            <w:pPr>
              <w:keepLines/>
              <w:spacing w:after="80"/>
            </w:pPr>
            <w:r w:rsidRPr="002D7748">
              <w:t xml:space="preserve">General </w:t>
            </w:r>
          </w:p>
          <w:p w14:paraId="78BA81C9" w14:textId="77777777" w:rsidR="004955A0" w:rsidRDefault="004955A0" w:rsidP="004955A0">
            <w:pPr>
              <w:spacing w:before="40" w:after="80"/>
            </w:pPr>
            <w:r w:rsidRPr="002D7748">
              <w:t>Section _.3</w:t>
            </w:r>
          </w:p>
          <w:p w14:paraId="2611E2C0" w14:textId="77777777" w:rsidR="004955A0" w:rsidRPr="002D7748" w:rsidRDefault="004955A0" w:rsidP="004955A0">
            <w:pPr>
              <w:spacing w:before="40" w:after="80"/>
              <w:rPr>
                <w:szCs w:val="24"/>
              </w:rPr>
            </w:pPr>
            <w:r w:rsidRPr="002D7748">
              <w:t>Section _.14</w:t>
            </w:r>
          </w:p>
        </w:tc>
      </w:tr>
      <w:tr w:rsidR="004955A0" w:rsidRPr="00B9669B" w14:paraId="22CC6EFB" w14:textId="77777777" w:rsidTr="004955A0">
        <w:trPr>
          <w:cantSplit/>
        </w:trPr>
        <w:tc>
          <w:tcPr>
            <w:tcW w:w="8478" w:type="dxa"/>
          </w:tcPr>
          <w:p w14:paraId="572EE7AC" w14:textId="77777777" w:rsidR="004955A0" w:rsidRPr="00B9669B" w:rsidRDefault="004955A0" w:rsidP="004955A0">
            <w:r w:rsidRPr="00B9669B">
              <w:rPr>
                <w:u w:val="single"/>
              </w:rPr>
              <w:t>Grants Payable.</w:t>
            </w:r>
            <w:r w:rsidRPr="00B9669B">
              <w:t xml:space="preserve">  Amounts for which </w:t>
            </w:r>
            <w:r>
              <w:t>a</w:t>
            </w:r>
            <w:r w:rsidRPr="00B9669B">
              <w:t xml:space="preserve"> grantee </w:t>
            </w:r>
            <w:r>
              <w:t>has</w:t>
            </w:r>
            <w:r w:rsidRPr="00B9669B">
              <w:t xml:space="preserve"> qualified </w:t>
            </w:r>
            <w:r>
              <w:t xml:space="preserve">through compliance requirements </w:t>
            </w:r>
            <w:r w:rsidRPr="00B9669B">
              <w:t xml:space="preserve">to receive </w:t>
            </w:r>
            <w:r>
              <w:t xml:space="preserve">resources </w:t>
            </w:r>
            <w:r w:rsidRPr="00B9669B">
              <w:t xml:space="preserve">as of year-end but </w:t>
            </w:r>
            <w:r>
              <w:t xml:space="preserve">for which disbursement was not made </w:t>
            </w:r>
            <w:r w:rsidRPr="00B9669B">
              <w:t xml:space="preserve">until after year-end.  </w:t>
            </w:r>
          </w:p>
        </w:tc>
        <w:tc>
          <w:tcPr>
            <w:tcW w:w="1440" w:type="dxa"/>
          </w:tcPr>
          <w:p w14:paraId="3D7A95AA" w14:textId="77777777" w:rsidR="004955A0" w:rsidRPr="002D7748" w:rsidRDefault="004955A0" w:rsidP="004955A0">
            <w:pPr>
              <w:keepLines/>
              <w:spacing w:after="80"/>
            </w:pPr>
            <w:r w:rsidRPr="002D7748">
              <w:t>Section _.12</w:t>
            </w:r>
          </w:p>
        </w:tc>
      </w:tr>
      <w:tr w:rsidR="004955A0" w:rsidRPr="00B9669B" w14:paraId="0E028B62" w14:textId="77777777" w:rsidTr="004955A0">
        <w:trPr>
          <w:cantSplit/>
        </w:trPr>
        <w:tc>
          <w:tcPr>
            <w:tcW w:w="8478" w:type="dxa"/>
          </w:tcPr>
          <w:p w14:paraId="17CA4CF5" w14:textId="22BFC3F6" w:rsidR="004955A0" w:rsidRPr="00B9669B" w:rsidRDefault="004955A0" w:rsidP="004955A0">
            <w:pPr>
              <w:rPr>
                <w:szCs w:val="24"/>
              </w:rPr>
            </w:pPr>
            <w:r w:rsidRPr="00B9669B">
              <w:rPr>
                <w:szCs w:val="24"/>
                <w:u w:val="single"/>
              </w:rPr>
              <w:t>Historical Cost</w:t>
            </w:r>
            <w:r w:rsidRPr="00B9669B">
              <w:rPr>
                <w:szCs w:val="24"/>
              </w:rPr>
              <w:t xml:space="preserve">.  Capital assets that are purchased or constructed must be recorded at historical cost.  Historical cost equals the original cost of the asset, including all charges necessary to place the asset into service.  For example, taxes, freight charges, site preparation costs, and </w:t>
            </w:r>
            <w:r w:rsidR="00277740">
              <w:rPr>
                <w:szCs w:val="24"/>
              </w:rPr>
              <w:t>installation</w:t>
            </w:r>
            <w:r w:rsidRPr="00B9669B">
              <w:rPr>
                <w:szCs w:val="24"/>
              </w:rPr>
              <w:t xml:space="preserve"> fees are included in the historical cost of a capital asset.  If actual cost records are not available, agencies should </w:t>
            </w:r>
            <w:r w:rsidRPr="00B9669B">
              <w:rPr>
                <w:i/>
                <w:szCs w:val="24"/>
              </w:rPr>
              <w:t>estimate</w:t>
            </w:r>
            <w:r w:rsidRPr="00B9669B">
              <w:rPr>
                <w:szCs w:val="24"/>
              </w:rPr>
              <w:t xml:space="preserve"> the cost as of the date acquired.  If the agency estimates the cost, it should fully document its estimate and the estimation methods it used.  </w:t>
            </w:r>
          </w:p>
        </w:tc>
        <w:tc>
          <w:tcPr>
            <w:tcW w:w="1440" w:type="dxa"/>
          </w:tcPr>
          <w:p w14:paraId="46F70834" w14:textId="77777777" w:rsidR="004955A0" w:rsidRPr="002D7748" w:rsidRDefault="004955A0" w:rsidP="004955A0">
            <w:pPr>
              <w:keepLines/>
              <w:spacing w:after="80"/>
            </w:pPr>
            <w:r w:rsidRPr="002D7748">
              <w:t>Section _.8</w:t>
            </w:r>
          </w:p>
        </w:tc>
      </w:tr>
      <w:tr w:rsidR="004955A0" w:rsidRPr="00B9669B" w14:paraId="20EF6F9B" w14:textId="77777777" w:rsidTr="004955A0">
        <w:trPr>
          <w:cantSplit/>
        </w:trPr>
        <w:tc>
          <w:tcPr>
            <w:tcW w:w="8478" w:type="dxa"/>
          </w:tcPr>
          <w:p w14:paraId="12A9F5F0" w14:textId="77777777" w:rsidR="004955A0" w:rsidRPr="00B9669B" w:rsidRDefault="004955A0" w:rsidP="004955A0">
            <w:r w:rsidRPr="00B9669B">
              <w:rPr>
                <w:u w:val="single"/>
              </w:rPr>
              <w:t>Holiday Compensatory Time</w:t>
            </w:r>
            <w:r w:rsidRPr="00B9669B">
              <w:t>.  An amount of leave time earned by working during a holiday.</w:t>
            </w:r>
          </w:p>
        </w:tc>
        <w:tc>
          <w:tcPr>
            <w:tcW w:w="1440" w:type="dxa"/>
          </w:tcPr>
          <w:p w14:paraId="1D4CA8AB" w14:textId="77777777" w:rsidR="004955A0" w:rsidRPr="002D7748" w:rsidRDefault="004955A0" w:rsidP="004955A0">
            <w:pPr>
              <w:keepLines/>
              <w:spacing w:after="80"/>
            </w:pPr>
            <w:r w:rsidRPr="002D7748">
              <w:t>Section _.17</w:t>
            </w:r>
          </w:p>
        </w:tc>
      </w:tr>
      <w:tr w:rsidR="004955A0" w:rsidRPr="00B9669B" w14:paraId="161C33BB" w14:textId="77777777" w:rsidTr="004955A0">
        <w:trPr>
          <w:cantSplit/>
        </w:trPr>
        <w:tc>
          <w:tcPr>
            <w:tcW w:w="8478" w:type="dxa"/>
          </w:tcPr>
          <w:p w14:paraId="1C994BBA" w14:textId="77777777" w:rsidR="004955A0" w:rsidRPr="00B9669B" w:rsidRDefault="004955A0" w:rsidP="004955A0">
            <w:pPr>
              <w:rPr>
                <w:szCs w:val="24"/>
              </w:rPr>
            </w:pPr>
            <w:r w:rsidRPr="00B9669B">
              <w:rPr>
                <w:szCs w:val="24"/>
                <w:u w:val="single"/>
              </w:rPr>
              <w:lastRenderedPageBreak/>
              <w:t>Impairment</w:t>
            </w:r>
            <w:r w:rsidRPr="00B9669B">
              <w:rPr>
                <w:szCs w:val="24"/>
              </w:rPr>
              <w:t xml:space="preserve">.  When a capital asset undergoes an event or change in circumstance that causes a </w:t>
            </w:r>
            <w:r w:rsidRPr="00B9669B">
              <w:rPr>
                <w:i/>
                <w:szCs w:val="24"/>
              </w:rPr>
              <w:t>significant, unexpected</w:t>
            </w:r>
            <w:r w:rsidRPr="00B9669B">
              <w:rPr>
                <w:szCs w:val="24"/>
              </w:rPr>
              <w:t xml:space="preserve"> decline in its service utility and the event or change in circumstance is outside of its normal life cycle.  Generally, impairment should be considered permanent.</w:t>
            </w:r>
          </w:p>
        </w:tc>
        <w:tc>
          <w:tcPr>
            <w:tcW w:w="1440" w:type="dxa"/>
          </w:tcPr>
          <w:p w14:paraId="3FFADDCF" w14:textId="77777777" w:rsidR="004955A0" w:rsidRPr="002D7748" w:rsidRDefault="004955A0" w:rsidP="004955A0">
            <w:pPr>
              <w:keepLines/>
              <w:spacing w:after="80"/>
            </w:pPr>
            <w:r w:rsidRPr="002D7748">
              <w:t>Section _.8</w:t>
            </w:r>
          </w:p>
        </w:tc>
      </w:tr>
      <w:tr w:rsidR="004955A0" w:rsidRPr="00B9669B" w14:paraId="3EC0B36D" w14:textId="77777777" w:rsidTr="004955A0">
        <w:trPr>
          <w:cantSplit/>
        </w:trPr>
        <w:tc>
          <w:tcPr>
            <w:tcW w:w="8478" w:type="dxa"/>
          </w:tcPr>
          <w:p w14:paraId="52F94521" w14:textId="77777777" w:rsidR="004955A0" w:rsidRPr="00B9669B" w:rsidRDefault="004955A0" w:rsidP="004955A0">
            <w:r w:rsidRPr="00B9669B">
              <w:rPr>
                <w:u w:val="single"/>
              </w:rPr>
              <w:t>Implicit Interest Rate</w:t>
            </w:r>
            <w:r w:rsidRPr="00B9669B">
              <w:t>.    The rate at which the present value of the minimum required lease payments is equal to the fair value of the leased property to the lessor at the inception of the lease.  If the lessee can determine the implicit rate used by the lessor and if the implicit rate is lower than the lessee’s incremental borrowing rate, the lessee should use the implicit rate for the present value calculation.  Otherwise, the lessee should use its incremental borrowing rate.</w:t>
            </w:r>
          </w:p>
        </w:tc>
        <w:tc>
          <w:tcPr>
            <w:tcW w:w="1440" w:type="dxa"/>
          </w:tcPr>
          <w:p w14:paraId="3FDDE5AB" w14:textId="77777777" w:rsidR="004955A0" w:rsidRPr="002D7748" w:rsidRDefault="004955A0" w:rsidP="004955A0">
            <w:pPr>
              <w:keepLines/>
              <w:spacing w:after="80"/>
            </w:pPr>
            <w:r w:rsidRPr="002D7748">
              <w:t>Section _.9</w:t>
            </w:r>
          </w:p>
        </w:tc>
      </w:tr>
      <w:tr w:rsidR="004955A0" w:rsidRPr="00B9669B" w14:paraId="7AF22951" w14:textId="77777777" w:rsidTr="004955A0">
        <w:trPr>
          <w:cantSplit/>
        </w:trPr>
        <w:tc>
          <w:tcPr>
            <w:tcW w:w="8478" w:type="dxa"/>
          </w:tcPr>
          <w:p w14:paraId="01B0426E" w14:textId="77777777" w:rsidR="004955A0" w:rsidRPr="00B9669B" w:rsidRDefault="004955A0" w:rsidP="004955A0">
            <w:r w:rsidRPr="00B9669B">
              <w:rPr>
                <w:u w:val="single"/>
              </w:rPr>
              <w:t>Incremental Borrowing Rate</w:t>
            </w:r>
            <w:r w:rsidRPr="00B9669B">
              <w:t xml:space="preserve">.  A rate that, at the inception of the lease, the lessee would have incurred to borrow over a similar term the money necessary to purchase the leased property.  </w:t>
            </w:r>
          </w:p>
        </w:tc>
        <w:tc>
          <w:tcPr>
            <w:tcW w:w="1440" w:type="dxa"/>
          </w:tcPr>
          <w:p w14:paraId="61F123AA" w14:textId="77777777" w:rsidR="004955A0" w:rsidRPr="002D7748" w:rsidRDefault="004955A0" w:rsidP="004955A0">
            <w:pPr>
              <w:keepLines/>
              <w:spacing w:after="80"/>
            </w:pPr>
            <w:r w:rsidRPr="002D7748">
              <w:t>Section _.9</w:t>
            </w:r>
          </w:p>
        </w:tc>
      </w:tr>
      <w:tr w:rsidR="004955A0" w:rsidRPr="00B9669B" w14:paraId="43F64807" w14:textId="77777777" w:rsidTr="004955A0">
        <w:trPr>
          <w:cantSplit/>
        </w:trPr>
        <w:tc>
          <w:tcPr>
            <w:tcW w:w="8478" w:type="dxa"/>
          </w:tcPr>
          <w:p w14:paraId="3728033C" w14:textId="77777777" w:rsidR="004955A0" w:rsidRPr="00B9669B" w:rsidRDefault="004955A0" w:rsidP="004955A0">
            <w:pPr>
              <w:pStyle w:val="Bullet10"/>
              <w:ind w:left="0" w:firstLine="0"/>
              <w:rPr>
                <w:szCs w:val="24"/>
              </w:rPr>
            </w:pPr>
            <w:r w:rsidRPr="00B9669B">
              <w:rPr>
                <w:szCs w:val="24"/>
                <w:u w:val="single"/>
              </w:rPr>
              <w:t>Incurred But Not Reported (IBNR)</w:t>
            </w:r>
            <w:r w:rsidRPr="00B9669B">
              <w:rPr>
                <w:szCs w:val="24"/>
              </w:rPr>
              <w:t xml:space="preserve">.  A claim for which the event occurred prior to year-end but was not reported as of year-end or in the subsequent period.  Valuing of the IBNR requires estimation because </w:t>
            </w:r>
            <w:proofErr w:type="gramStart"/>
            <w:r w:rsidRPr="00B9669B">
              <w:rPr>
                <w:szCs w:val="24"/>
              </w:rPr>
              <w:t>all of</w:t>
            </w:r>
            <w:proofErr w:type="gramEnd"/>
            <w:r w:rsidRPr="00B9669B">
              <w:rPr>
                <w:szCs w:val="24"/>
              </w:rPr>
              <w:t xml:space="preserve"> the facts are not available.  </w:t>
            </w:r>
          </w:p>
        </w:tc>
        <w:tc>
          <w:tcPr>
            <w:tcW w:w="1440" w:type="dxa"/>
          </w:tcPr>
          <w:p w14:paraId="1510E38D" w14:textId="77777777" w:rsidR="004955A0" w:rsidRPr="002D7748" w:rsidRDefault="004955A0" w:rsidP="004955A0">
            <w:pPr>
              <w:pStyle w:val="Bullet10"/>
              <w:keepLines/>
              <w:spacing w:after="80"/>
              <w:ind w:left="0" w:firstLine="0"/>
              <w:rPr>
                <w:szCs w:val="24"/>
              </w:rPr>
            </w:pPr>
            <w:r w:rsidRPr="002D7748">
              <w:t>Section _.15</w:t>
            </w:r>
          </w:p>
        </w:tc>
      </w:tr>
      <w:tr w:rsidR="004955A0" w:rsidRPr="00B9669B" w14:paraId="3C0E3429" w14:textId="77777777" w:rsidTr="004955A0">
        <w:trPr>
          <w:cantSplit/>
        </w:trPr>
        <w:tc>
          <w:tcPr>
            <w:tcW w:w="8478" w:type="dxa"/>
          </w:tcPr>
          <w:p w14:paraId="5A360A09" w14:textId="03F8F40E" w:rsidR="004955A0" w:rsidRPr="00B9669B" w:rsidRDefault="004955A0" w:rsidP="004955A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Infrastructure</w:t>
            </w:r>
            <w:r w:rsidRPr="00B9669B">
              <w:rPr>
                <w:szCs w:val="24"/>
              </w:rPr>
              <w:t>.  GASB Codification Section 1400.103</w:t>
            </w:r>
            <w:r w:rsidRPr="00B9669B">
              <w:rPr>
                <w:i/>
                <w:iCs/>
                <w:szCs w:val="24"/>
              </w:rPr>
              <w:t xml:space="preserve"> </w:t>
            </w:r>
            <w:r w:rsidRPr="00B9669B">
              <w:rPr>
                <w:szCs w:val="24"/>
              </w:rPr>
              <w:t xml:space="preserve">defines infrastructure as long-lived capital assets that normally are stationary in nature and normally can be preserved for a significantly greater number of years than most capital assets.  Examples include roads, bridges, tunnels, drainage systems, water and sewer systems, dams, and lighting systems. </w:t>
            </w:r>
            <w:r w:rsidR="001A6009" w:rsidRPr="00D77C74">
              <w:rPr>
                <w:b/>
                <w:bCs/>
                <w:szCs w:val="24"/>
              </w:rPr>
              <w:t>Note: This asset classification should only be used by the Department of Transportation.</w:t>
            </w:r>
            <w:r w:rsidRPr="00D77C74">
              <w:rPr>
                <w:b/>
                <w:bCs/>
                <w:szCs w:val="24"/>
              </w:rPr>
              <w:t xml:space="preserve"> </w:t>
            </w:r>
          </w:p>
        </w:tc>
        <w:tc>
          <w:tcPr>
            <w:tcW w:w="1440" w:type="dxa"/>
          </w:tcPr>
          <w:p w14:paraId="662BDEC6" w14:textId="77777777" w:rsidR="004955A0" w:rsidRPr="002D7748" w:rsidRDefault="004955A0" w:rsidP="004955A0">
            <w:pPr>
              <w:keepLines/>
              <w:spacing w:after="80"/>
            </w:pPr>
            <w:r w:rsidRPr="002D7748">
              <w:t>Section _.8</w:t>
            </w:r>
          </w:p>
        </w:tc>
      </w:tr>
      <w:tr w:rsidR="004955A0" w:rsidRPr="00B9669B" w14:paraId="55681528" w14:textId="77777777" w:rsidTr="004955A0">
        <w:trPr>
          <w:cantSplit/>
        </w:trPr>
        <w:tc>
          <w:tcPr>
            <w:tcW w:w="8478" w:type="dxa"/>
          </w:tcPr>
          <w:p w14:paraId="07F3E7C2" w14:textId="77777777" w:rsidR="004955A0" w:rsidRPr="00B9669B" w:rsidRDefault="004955A0" w:rsidP="004955A0">
            <w:pPr>
              <w:widowControl w:val="0"/>
              <w:rPr>
                <w:szCs w:val="24"/>
              </w:rPr>
            </w:pPr>
            <w:r w:rsidRPr="00B9669B">
              <w:rPr>
                <w:szCs w:val="24"/>
                <w:u w:val="single"/>
              </w:rPr>
              <w:t>Intangible Assets</w:t>
            </w:r>
            <w:r w:rsidRPr="00B9669B">
              <w:rPr>
                <w:szCs w:val="24"/>
              </w:rPr>
              <w:t xml:space="preserve">.  Intangible assets generally lack a physical existence.  This category includes such items as computer software, easements, land use rights (water and timber), trademarks, copyrights, and patents.  Most intangible assets are depreciable, including purchased and </w:t>
            </w:r>
            <w:proofErr w:type="gramStart"/>
            <w:r w:rsidRPr="00B9669B">
              <w:rPr>
                <w:szCs w:val="24"/>
              </w:rPr>
              <w:t>internally-generated</w:t>
            </w:r>
            <w:proofErr w:type="gramEnd"/>
            <w:r w:rsidRPr="00B9669B">
              <w:rPr>
                <w:szCs w:val="24"/>
              </w:rPr>
              <w:t xml:space="preserve"> software, but an intangible asset may be non-depreciable if it is considered to have an infinite useful life.  Easements typically have an infinite useful life and are therefore non-depreciable.</w:t>
            </w:r>
          </w:p>
        </w:tc>
        <w:tc>
          <w:tcPr>
            <w:tcW w:w="1440" w:type="dxa"/>
          </w:tcPr>
          <w:p w14:paraId="330EAF4E" w14:textId="77777777" w:rsidR="004955A0" w:rsidRPr="002D7748" w:rsidRDefault="004955A0" w:rsidP="004955A0">
            <w:pPr>
              <w:keepLines/>
              <w:spacing w:after="80"/>
            </w:pPr>
            <w:r w:rsidRPr="002D7748">
              <w:t>Section _.8</w:t>
            </w:r>
          </w:p>
        </w:tc>
      </w:tr>
      <w:tr w:rsidR="004955A0" w:rsidRPr="00B9669B" w14:paraId="1F326FC9" w14:textId="77777777" w:rsidTr="004955A0">
        <w:trPr>
          <w:cantSplit/>
        </w:trPr>
        <w:tc>
          <w:tcPr>
            <w:tcW w:w="8478" w:type="dxa"/>
          </w:tcPr>
          <w:p w14:paraId="150086DC" w14:textId="77777777" w:rsidR="004955A0" w:rsidRPr="00B9669B" w:rsidRDefault="004955A0" w:rsidP="004955A0">
            <w:r w:rsidRPr="00B9669B">
              <w:rPr>
                <w:u w:val="single"/>
              </w:rPr>
              <w:t>Interdepartmental Transfer (IDT)</w:t>
            </w:r>
            <w:r w:rsidRPr="00B9669B">
              <w:t xml:space="preserve">.  An exchange of resources from one agency to another or between accounting funds within the agency processed through pooled cash held by the State Treasurer’s Office.  </w:t>
            </w:r>
          </w:p>
        </w:tc>
        <w:tc>
          <w:tcPr>
            <w:tcW w:w="1440" w:type="dxa"/>
          </w:tcPr>
          <w:p w14:paraId="50426BE7" w14:textId="77777777" w:rsidR="004955A0" w:rsidRPr="002D7748" w:rsidRDefault="004955A0" w:rsidP="004955A0">
            <w:pPr>
              <w:keepLines/>
              <w:spacing w:after="80"/>
            </w:pPr>
            <w:r w:rsidRPr="002D7748">
              <w:t>Section _.18</w:t>
            </w:r>
          </w:p>
        </w:tc>
      </w:tr>
      <w:tr w:rsidR="004955A0" w:rsidRPr="00B9669B" w14:paraId="2D672131" w14:textId="77777777" w:rsidTr="004955A0">
        <w:trPr>
          <w:cantSplit/>
        </w:trPr>
        <w:tc>
          <w:tcPr>
            <w:tcW w:w="8478" w:type="dxa"/>
          </w:tcPr>
          <w:p w14:paraId="6CF736F3" w14:textId="77777777" w:rsidR="004955A0" w:rsidRPr="00B9669B" w:rsidRDefault="004955A0" w:rsidP="004955A0">
            <w:pPr>
              <w:rPr>
                <w:u w:val="single"/>
              </w:rPr>
            </w:pPr>
            <w:r w:rsidRPr="00B9669B">
              <w:rPr>
                <w:u w:val="single"/>
              </w:rPr>
              <w:t>Interest Expense.</w:t>
            </w:r>
            <w:r w:rsidRPr="00B9669B">
              <w:t xml:space="preserve">  The cost of borrowing resources.  Repayment is required periodically based on the terms of the debt agreement.</w:t>
            </w:r>
          </w:p>
        </w:tc>
        <w:tc>
          <w:tcPr>
            <w:tcW w:w="1440" w:type="dxa"/>
          </w:tcPr>
          <w:p w14:paraId="63040CAC" w14:textId="77777777" w:rsidR="004955A0" w:rsidRPr="002D7748" w:rsidRDefault="004955A0" w:rsidP="004955A0">
            <w:pPr>
              <w:keepLines/>
              <w:spacing w:after="80"/>
            </w:pPr>
            <w:r w:rsidRPr="002D7748">
              <w:t>Section _.12</w:t>
            </w:r>
          </w:p>
        </w:tc>
      </w:tr>
      <w:tr w:rsidR="004955A0" w:rsidRPr="00B9669B" w14:paraId="616424FB" w14:textId="77777777" w:rsidTr="004955A0">
        <w:trPr>
          <w:cantSplit/>
        </w:trPr>
        <w:tc>
          <w:tcPr>
            <w:tcW w:w="8478" w:type="dxa"/>
          </w:tcPr>
          <w:p w14:paraId="68710E32" w14:textId="77777777" w:rsidR="004955A0" w:rsidRPr="00B9669B" w:rsidRDefault="004955A0" w:rsidP="004955A0">
            <w:r w:rsidRPr="00B9669B">
              <w:rPr>
                <w:u w:val="single"/>
              </w:rPr>
              <w:lastRenderedPageBreak/>
              <w:t>Interest Payable.</w:t>
            </w:r>
            <w:r w:rsidRPr="00B9669B">
              <w:t xml:space="preserve">  The amount of interest owed but unpaid as of year-end.  </w:t>
            </w:r>
          </w:p>
        </w:tc>
        <w:tc>
          <w:tcPr>
            <w:tcW w:w="1440" w:type="dxa"/>
          </w:tcPr>
          <w:p w14:paraId="543A733F" w14:textId="77777777" w:rsidR="004955A0" w:rsidRPr="002D7748" w:rsidRDefault="004955A0" w:rsidP="004955A0">
            <w:pPr>
              <w:keepLines/>
              <w:spacing w:after="80"/>
            </w:pPr>
            <w:r w:rsidRPr="002D7748">
              <w:t>Section _.12</w:t>
            </w:r>
          </w:p>
        </w:tc>
      </w:tr>
      <w:tr w:rsidR="004955A0" w:rsidRPr="00B9669B" w14:paraId="11E0D362" w14:textId="77777777" w:rsidTr="004955A0">
        <w:trPr>
          <w:cantSplit/>
        </w:trPr>
        <w:tc>
          <w:tcPr>
            <w:tcW w:w="8478" w:type="dxa"/>
          </w:tcPr>
          <w:p w14:paraId="59EB9D01" w14:textId="77777777" w:rsidR="004955A0" w:rsidRPr="00B9669B" w:rsidRDefault="004955A0" w:rsidP="004955A0">
            <w:r w:rsidRPr="00B9669B">
              <w:rPr>
                <w:u w:val="single"/>
              </w:rPr>
              <w:t>Interfund Payable.</w:t>
            </w:r>
            <w:r w:rsidRPr="00B9669B">
              <w:t xml:space="preserve">  A liability (amount payable) </w:t>
            </w:r>
            <w:r>
              <w:t xml:space="preserve">owed from </w:t>
            </w:r>
            <w:r w:rsidRPr="00B9669B">
              <w:t xml:space="preserve">one accounting fund to another accounting fund </w:t>
            </w:r>
            <w:proofErr w:type="gramStart"/>
            <w:r w:rsidRPr="00B9669B">
              <w:t>at</w:t>
            </w:r>
            <w:proofErr w:type="gramEnd"/>
            <w:r w:rsidRPr="00B9669B">
              <w:t xml:space="preserve"> June 30.  Within the State’s reporting entity this would also result from one accounting fund of a particular agency to another accounting fund (with or without the same number) of another agency.</w:t>
            </w:r>
            <w:r>
              <w:t xml:space="preserve"> </w:t>
            </w:r>
          </w:p>
        </w:tc>
        <w:tc>
          <w:tcPr>
            <w:tcW w:w="1440" w:type="dxa"/>
          </w:tcPr>
          <w:p w14:paraId="3EF317D0" w14:textId="77777777" w:rsidR="004955A0" w:rsidRDefault="004955A0" w:rsidP="004955A0">
            <w:pPr>
              <w:keepLines/>
              <w:spacing w:after="80"/>
            </w:pPr>
            <w:r w:rsidRPr="002D7748">
              <w:t xml:space="preserve">General </w:t>
            </w:r>
          </w:p>
          <w:p w14:paraId="0EE56859" w14:textId="77777777" w:rsidR="004955A0" w:rsidRPr="002D7748" w:rsidRDefault="004955A0" w:rsidP="004955A0">
            <w:pPr>
              <w:spacing w:before="40" w:after="80"/>
            </w:pPr>
            <w:r w:rsidRPr="002D7748">
              <w:t>Section _.18</w:t>
            </w:r>
          </w:p>
        </w:tc>
      </w:tr>
      <w:tr w:rsidR="004955A0" w:rsidRPr="00B9669B" w14:paraId="41E14C42" w14:textId="77777777" w:rsidTr="004955A0">
        <w:trPr>
          <w:cantSplit/>
        </w:trPr>
        <w:tc>
          <w:tcPr>
            <w:tcW w:w="8478" w:type="dxa"/>
          </w:tcPr>
          <w:p w14:paraId="791A2127" w14:textId="77777777" w:rsidR="004955A0" w:rsidRPr="00B9669B" w:rsidRDefault="004955A0" w:rsidP="004955A0">
            <w:pPr>
              <w:rPr>
                <w:u w:val="single"/>
              </w:rPr>
            </w:pPr>
            <w:r>
              <w:rPr>
                <w:u w:val="single"/>
              </w:rPr>
              <w:t>Interfund Receivable</w:t>
            </w:r>
            <w:r w:rsidRPr="00B9669B">
              <w:rPr>
                <w:u w:val="single"/>
              </w:rPr>
              <w:t>.</w:t>
            </w:r>
            <w:r w:rsidRPr="00B9669B">
              <w:t xml:space="preserve">  A</w:t>
            </w:r>
            <w:r>
              <w:t>n asset</w:t>
            </w:r>
            <w:r w:rsidRPr="00B9669B">
              <w:t xml:space="preserve"> (amount </w:t>
            </w:r>
            <w:r>
              <w:t>receivable</w:t>
            </w:r>
            <w:r w:rsidRPr="00B9669B">
              <w:t xml:space="preserve">) </w:t>
            </w:r>
            <w:r>
              <w:t xml:space="preserve">owed from </w:t>
            </w:r>
            <w:r w:rsidRPr="00B9669B">
              <w:t xml:space="preserve">one accounting fund to another accounting fund </w:t>
            </w:r>
            <w:proofErr w:type="gramStart"/>
            <w:r w:rsidRPr="00B9669B">
              <w:t>at</w:t>
            </w:r>
            <w:proofErr w:type="gramEnd"/>
            <w:r w:rsidRPr="00B9669B">
              <w:t xml:space="preserve"> June 30.  Within the State’s reporting entity this would also result from one accounting fund of a particular agency to another accounting fund (with or without the same number) of another agency.</w:t>
            </w:r>
          </w:p>
        </w:tc>
        <w:tc>
          <w:tcPr>
            <w:tcW w:w="1440" w:type="dxa"/>
          </w:tcPr>
          <w:p w14:paraId="7A76CB1A" w14:textId="77777777" w:rsidR="004955A0" w:rsidRDefault="004955A0" w:rsidP="004955A0">
            <w:pPr>
              <w:keepLines/>
              <w:spacing w:after="80"/>
            </w:pPr>
            <w:r w:rsidRPr="002D7748">
              <w:t xml:space="preserve">General </w:t>
            </w:r>
          </w:p>
          <w:p w14:paraId="3A5AA10D" w14:textId="77777777" w:rsidR="004955A0" w:rsidRPr="002D7748" w:rsidRDefault="004955A0" w:rsidP="004955A0">
            <w:pPr>
              <w:keepLines/>
              <w:spacing w:after="80"/>
            </w:pPr>
            <w:r w:rsidRPr="002D7748">
              <w:t>Section _.18</w:t>
            </w:r>
          </w:p>
        </w:tc>
      </w:tr>
      <w:tr w:rsidR="004955A0" w:rsidRPr="00B9669B" w14:paraId="797772C9" w14:textId="77777777" w:rsidTr="004955A0">
        <w:trPr>
          <w:cantSplit/>
        </w:trPr>
        <w:tc>
          <w:tcPr>
            <w:tcW w:w="8478" w:type="dxa"/>
          </w:tcPr>
          <w:p w14:paraId="7B376653" w14:textId="77777777" w:rsidR="004955A0" w:rsidRPr="00B9669B" w:rsidRDefault="004955A0" w:rsidP="004955A0">
            <w:pPr>
              <w:rPr>
                <w:rFonts w:cs="Courier New"/>
              </w:rPr>
            </w:pPr>
            <w:r w:rsidRPr="00B9669B">
              <w:rPr>
                <w:rFonts w:cs="Courier New"/>
                <w:u w:val="single"/>
              </w:rPr>
              <w:t>Intergovernmental Payable</w:t>
            </w:r>
            <w:r>
              <w:rPr>
                <w:rFonts w:cs="Courier New"/>
                <w:u w:val="single"/>
              </w:rPr>
              <w:t>.</w:t>
            </w:r>
            <w:r w:rsidRPr="00B9669B">
              <w:rPr>
                <w:rFonts w:cs="Courier New"/>
              </w:rPr>
              <w:t xml:space="preserve">  Amounts owed to other governmental entities outside the State’s financial reporting entity.  </w:t>
            </w:r>
            <w:r>
              <w:rPr>
                <w:rFonts w:cs="Courier New"/>
              </w:rPr>
              <w:t>This would include the Federal government, counties, special purpose districts, or municipalities.</w:t>
            </w:r>
          </w:p>
        </w:tc>
        <w:tc>
          <w:tcPr>
            <w:tcW w:w="1440" w:type="dxa"/>
          </w:tcPr>
          <w:p w14:paraId="175D8301" w14:textId="77777777" w:rsidR="004955A0" w:rsidRPr="002D7748" w:rsidRDefault="004955A0" w:rsidP="004955A0">
            <w:pPr>
              <w:spacing w:after="80"/>
              <w:rPr>
                <w:rFonts w:cs="Courier New"/>
              </w:rPr>
            </w:pPr>
            <w:r w:rsidRPr="002D7748">
              <w:t>Section _.12</w:t>
            </w:r>
          </w:p>
        </w:tc>
      </w:tr>
      <w:tr w:rsidR="004955A0" w:rsidRPr="00B9669B" w14:paraId="709F8D25" w14:textId="77777777" w:rsidTr="004955A0">
        <w:trPr>
          <w:cantSplit/>
        </w:trPr>
        <w:tc>
          <w:tcPr>
            <w:tcW w:w="8478" w:type="dxa"/>
          </w:tcPr>
          <w:p w14:paraId="767B7669" w14:textId="77777777" w:rsidR="004955A0" w:rsidRPr="00B9669B" w:rsidRDefault="004955A0" w:rsidP="004955A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Intra-State Transfers of Capital Assets</w:t>
            </w:r>
            <w:r w:rsidRPr="00B9669B">
              <w:rPr>
                <w:szCs w:val="24"/>
              </w:rPr>
              <w:t xml:space="preserve">.  An occurrence when an agency donates capital assets to another fund within its agency or to another agency within State government.  Intra-State transfers do </w:t>
            </w:r>
            <w:r w:rsidRPr="00B9669B">
              <w:rPr>
                <w:szCs w:val="24"/>
                <w:u w:val="single"/>
              </w:rPr>
              <w:t>not</w:t>
            </w:r>
            <w:r w:rsidRPr="00B9669B">
              <w:rPr>
                <w:szCs w:val="24"/>
              </w:rPr>
              <w:t xml:space="preserve"> </w:t>
            </w:r>
            <w:proofErr w:type="gramStart"/>
            <w:r w:rsidRPr="00B9669B">
              <w:rPr>
                <w:szCs w:val="24"/>
              </w:rPr>
              <w:t>include;</w:t>
            </w:r>
            <w:proofErr w:type="gramEnd"/>
            <w:r w:rsidRPr="00B9669B">
              <w:rPr>
                <w:szCs w:val="24"/>
              </w:rPr>
              <w:t xml:space="preserve"> transfers to the Surplus Property Section of General Services for resale or sales to, or purchases from, other State agencies or funds, which should be reported as capital asset retirements and additions.</w:t>
            </w:r>
          </w:p>
        </w:tc>
        <w:tc>
          <w:tcPr>
            <w:tcW w:w="1440" w:type="dxa"/>
          </w:tcPr>
          <w:p w14:paraId="797AA1D6" w14:textId="77777777" w:rsidR="004955A0" w:rsidRPr="002D7748" w:rsidRDefault="004955A0" w:rsidP="004955A0">
            <w:pPr>
              <w:spacing w:after="80"/>
            </w:pPr>
            <w:r w:rsidRPr="002D7748">
              <w:t>Section _.8</w:t>
            </w:r>
          </w:p>
        </w:tc>
      </w:tr>
      <w:tr w:rsidR="004955A0" w:rsidRPr="00B9669B" w14:paraId="798FDB38" w14:textId="77777777" w:rsidTr="004955A0">
        <w:trPr>
          <w:cantSplit/>
        </w:trPr>
        <w:tc>
          <w:tcPr>
            <w:tcW w:w="8478" w:type="dxa"/>
          </w:tcPr>
          <w:p w14:paraId="33F6AEC4" w14:textId="077616A7" w:rsidR="004955A0" w:rsidRPr="00B9669B" w:rsidRDefault="004955A0" w:rsidP="004955A0">
            <w:pPr>
              <w:rPr>
                <w:u w:val="single"/>
              </w:rPr>
            </w:pPr>
            <w:r w:rsidRPr="00B9669B">
              <w:rPr>
                <w:u w:val="single"/>
              </w:rPr>
              <w:t>Investment in Capital Assets, net of related debt</w:t>
            </w:r>
            <w:r w:rsidRPr="00B9669B">
              <w:t xml:space="preserve">.  A residual balance reported in the net asset section of Proprietary Funds representing nonspendable balances tied up in fixed assets and the debt utilized to finance the acquisition of the assets.  </w:t>
            </w:r>
          </w:p>
        </w:tc>
        <w:tc>
          <w:tcPr>
            <w:tcW w:w="1440" w:type="dxa"/>
          </w:tcPr>
          <w:p w14:paraId="199B6574" w14:textId="77777777" w:rsidR="004955A0" w:rsidRPr="002D7748" w:rsidRDefault="004955A0" w:rsidP="004955A0">
            <w:pPr>
              <w:spacing w:after="80"/>
            </w:pPr>
            <w:r w:rsidRPr="002D7748">
              <w:t>Section _.20</w:t>
            </w:r>
          </w:p>
        </w:tc>
      </w:tr>
      <w:tr w:rsidR="004955A0" w:rsidRPr="00B9669B" w14:paraId="376CCC0E" w14:textId="77777777" w:rsidTr="004955A0">
        <w:trPr>
          <w:cantSplit/>
        </w:trPr>
        <w:tc>
          <w:tcPr>
            <w:tcW w:w="8478" w:type="dxa"/>
          </w:tcPr>
          <w:p w14:paraId="1ED9E982" w14:textId="77777777" w:rsidR="004955A0" w:rsidRPr="00B9669B" w:rsidRDefault="004955A0" w:rsidP="004955A0">
            <w:pPr>
              <w:keepLines/>
              <w:spacing w:before="100" w:after="100"/>
            </w:pPr>
            <w:r w:rsidRPr="00B9669B">
              <w:rPr>
                <w:u w:val="single"/>
              </w:rPr>
              <w:t>Investment</w:t>
            </w:r>
            <w:r w:rsidRPr="00B9669B">
              <w:t xml:space="preserve">.  Negotiable instruments held for earnings potential.  Examples include </w:t>
            </w:r>
            <w:r w:rsidRPr="00B9669B">
              <w:rPr>
                <w:szCs w:val="24"/>
              </w:rPr>
              <w:t>marketable securities</w:t>
            </w:r>
            <w:r>
              <w:rPr>
                <w:szCs w:val="24"/>
              </w:rPr>
              <w:t xml:space="preserve"> (equity, debt, or mutual funds)</w:t>
            </w:r>
            <w:r w:rsidRPr="00B9669B">
              <w:rPr>
                <w:szCs w:val="24"/>
              </w:rPr>
              <w:t>,</w:t>
            </w:r>
            <w:r>
              <w:rPr>
                <w:szCs w:val="24"/>
              </w:rPr>
              <w:t xml:space="preserve"> </w:t>
            </w:r>
            <w:r w:rsidRPr="00B9669B">
              <w:t xml:space="preserve">cash on deposits with withdrawal restrictions from original date of purchase </w:t>
            </w:r>
            <w:proofErr w:type="gramStart"/>
            <w:r w:rsidRPr="00B9669B">
              <w:t>in excess of</w:t>
            </w:r>
            <w:proofErr w:type="gramEnd"/>
            <w:r w:rsidRPr="00B9669B">
              <w:t xml:space="preserve"> 90 days, </w:t>
            </w:r>
            <w:r w:rsidRPr="00B9669B">
              <w:rPr>
                <w:szCs w:val="24"/>
              </w:rPr>
              <w:t>money market certificates, other financial instruments, or land and other real estate held as investments by endowments.</w:t>
            </w:r>
            <w:r>
              <w:t xml:space="preserve">  </w:t>
            </w:r>
            <w:r w:rsidRPr="00B9669B">
              <w:rPr>
                <w:szCs w:val="24"/>
              </w:rPr>
              <w:t xml:space="preserve">Investments your agency </w:t>
            </w:r>
            <w:r w:rsidRPr="00B9669B">
              <w:rPr>
                <w:b/>
                <w:i/>
                <w:szCs w:val="24"/>
              </w:rPr>
              <w:t>holds</w:t>
            </w:r>
            <w:r w:rsidRPr="00B9669B">
              <w:rPr>
                <w:szCs w:val="24"/>
              </w:rPr>
              <w:t xml:space="preserve"> as a trustee or agent for others should be included.  Securities pledged to an agency in accordance with contractual, regulatory, or legal requirements do not constitute owned or controlled investments.</w:t>
            </w:r>
            <w:r>
              <w:rPr>
                <w:szCs w:val="24"/>
              </w:rPr>
              <w:t xml:space="preserve">  </w:t>
            </w:r>
            <w:r>
              <w:t>Investments to be reported by agencies should exclude any held in the custody of the</w:t>
            </w:r>
            <w:r w:rsidRPr="00B9669B">
              <w:rPr>
                <w:szCs w:val="24"/>
              </w:rPr>
              <w:t xml:space="preserve"> State Treasurer's Office.  </w:t>
            </w:r>
            <w:r>
              <w:rPr>
                <w:szCs w:val="24"/>
              </w:rPr>
              <w:t>Also excluded are</w:t>
            </w:r>
            <w:r w:rsidRPr="00B9669B">
              <w:rPr>
                <w:szCs w:val="24"/>
              </w:rPr>
              <w:t xml:space="preserve"> </w:t>
            </w:r>
            <w:r>
              <w:rPr>
                <w:szCs w:val="24"/>
              </w:rPr>
              <w:t>i</w:t>
            </w:r>
            <w:r w:rsidRPr="00B9669B">
              <w:rPr>
                <w:szCs w:val="24"/>
              </w:rPr>
              <w:t xml:space="preserve">nsurance policies and other non-negotiable instruments.  </w:t>
            </w:r>
          </w:p>
        </w:tc>
        <w:tc>
          <w:tcPr>
            <w:tcW w:w="1440" w:type="dxa"/>
          </w:tcPr>
          <w:p w14:paraId="28DFE4F0" w14:textId="77777777" w:rsidR="004955A0" w:rsidRDefault="004955A0" w:rsidP="004955A0">
            <w:pPr>
              <w:spacing w:after="80"/>
            </w:pPr>
            <w:r w:rsidRPr="002D7748">
              <w:t>General</w:t>
            </w:r>
          </w:p>
          <w:p w14:paraId="305E9452" w14:textId="77777777" w:rsidR="004955A0" w:rsidRPr="002D7748" w:rsidRDefault="004955A0" w:rsidP="004955A0">
            <w:pPr>
              <w:spacing w:before="40" w:after="80"/>
            </w:pPr>
            <w:r w:rsidRPr="002D7748">
              <w:t>Section _.1</w:t>
            </w:r>
          </w:p>
        </w:tc>
      </w:tr>
      <w:tr w:rsidR="004955A0" w:rsidRPr="00B9669B" w14:paraId="38433F21" w14:textId="77777777" w:rsidTr="004955A0">
        <w:trPr>
          <w:cantSplit/>
        </w:trPr>
        <w:tc>
          <w:tcPr>
            <w:tcW w:w="8478" w:type="dxa"/>
          </w:tcPr>
          <w:p w14:paraId="63DD0CC0" w14:textId="00B77942"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Land.</w:t>
            </w:r>
            <w:r w:rsidRPr="00B9669B">
              <w:rPr>
                <w:szCs w:val="24"/>
              </w:rPr>
              <w:t xml:space="preserve">  All parcels of real estate, including rights-of-way</w:t>
            </w:r>
            <w:r w:rsidR="001A6009">
              <w:rPr>
                <w:szCs w:val="24"/>
              </w:rPr>
              <w:t>,</w:t>
            </w:r>
            <w:r w:rsidRPr="00B9669B">
              <w:rPr>
                <w:szCs w:val="24"/>
              </w:rPr>
              <w:t xml:space="preserve"> that are owned by an agency of the State.  </w:t>
            </w:r>
          </w:p>
        </w:tc>
        <w:tc>
          <w:tcPr>
            <w:tcW w:w="1440" w:type="dxa"/>
          </w:tcPr>
          <w:p w14:paraId="323F0F85" w14:textId="77777777" w:rsidR="004955A0" w:rsidRPr="002D7748" w:rsidRDefault="004955A0" w:rsidP="004955A0">
            <w:pPr>
              <w:spacing w:after="80"/>
            </w:pPr>
            <w:r w:rsidRPr="002D7748">
              <w:t>Section _.8</w:t>
            </w:r>
          </w:p>
        </w:tc>
      </w:tr>
      <w:tr w:rsidR="004955A0" w:rsidRPr="00B9669B" w14:paraId="46793E21" w14:textId="77777777" w:rsidTr="004955A0">
        <w:trPr>
          <w:cantSplit/>
        </w:trPr>
        <w:tc>
          <w:tcPr>
            <w:tcW w:w="8478" w:type="dxa"/>
          </w:tcPr>
          <w:p w14:paraId="06D9985A" w14:textId="77777777" w:rsidR="004955A0" w:rsidRPr="00B9669B" w:rsidRDefault="004955A0" w:rsidP="004955A0">
            <w:r w:rsidRPr="00B9669B">
              <w:rPr>
                <w:u w:val="single"/>
              </w:rPr>
              <w:lastRenderedPageBreak/>
              <w:t>Last Invoice Price Method</w:t>
            </w:r>
            <w:r w:rsidRPr="00B9669B">
              <w:t xml:space="preserve">.  An inventory valuation method that ignores fluctuations in pricing during the holding period of the inventory by utilizing only the last price paid for an inventory item in the valuation calculation.  It approximates FIFO.  </w:t>
            </w:r>
          </w:p>
        </w:tc>
        <w:tc>
          <w:tcPr>
            <w:tcW w:w="1440" w:type="dxa"/>
          </w:tcPr>
          <w:p w14:paraId="64B6737C" w14:textId="77777777" w:rsidR="004955A0" w:rsidRPr="002D7748" w:rsidRDefault="004955A0" w:rsidP="004955A0">
            <w:pPr>
              <w:spacing w:after="80"/>
            </w:pPr>
            <w:r w:rsidRPr="002D7748">
              <w:t>Section _.6</w:t>
            </w:r>
          </w:p>
        </w:tc>
      </w:tr>
      <w:tr w:rsidR="004955A0" w:rsidRPr="00B9669B" w14:paraId="61881756" w14:textId="77777777" w:rsidTr="004955A0">
        <w:trPr>
          <w:cantSplit/>
        </w:trPr>
        <w:tc>
          <w:tcPr>
            <w:tcW w:w="8478" w:type="dxa"/>
          </w:tcPr>
          <w:p w14:paraId="345148E9" w14:textId="77777777" w:rsidR="004955A0" w:rsidRPr="00B9669B" w:rsidRDefault="004955A0" w:rsidP="004955A0">
            <w:r w:rsidRPr="00B9669B">
              <w:rPr>
                <w:u w:val="single"/>
              </w:rPr>
              <w:t>Lease Agreement</w:t>
            </w:r>
            <w:r w:rsidRPr="00B9669B">
              <w:t xml:space="preserve">.  A legal document in which a lessor gives property rights to a lessee for a specific </w:t>
            </w:r>
            <w:proofErr w:type="gramStart"/>
            <w:r w:rsidRPr="00B9669B">
              <w:t>period of time</w:t>
            </w:r>
            <w:proofErr w:type="gramEnd"/>
            <w:r w:rsidRPr="00B9669B">
              <w:t xml:space="preserve">.  </w:t>
            </w:r>
          </w:p>
        </w:tc>
        <w:tc>
          <w:tcPr>
            <w:tcW w:w="1440" w:type="dxa"/>
          </w:tcPr>
          <w:p w14:paraId="2D66F314" w14:textId="77777777" w:rsidR="004955A0" w:rsidRPr="002D7748" w:rsidRDefault="004955A0" w:rsidP="004955A0">
            <w:pPr>
              <w:spacing w:after="80"/>
            </w:pPr>
            <w:r w:rsidRPr="002D7748">
              <w:t>Section _.9</w:t>
            </w:r>
          </w:p>
        </w:tc>
      </w:tr>
      <w:tr w:rsidR="004955A0" w:rsidRPr="00B9669B" w14:paraId="4F4B4C67" w14:textId="77777777" w:rsidTr="004955A0">
        <w:trPr>
          <w:cantSplit/>
        </w:trPr>
        <w:tc>
          <w:tcPr>
            <w:tcW w:w="8478" w:type="dxa"/>
          </w:tcPr>
          <w:p w14:paraId="3CF42C9D" w14:textId="77777777" w:rsidR="004955A0" w:rsidRPr="00B9669B" w:rsidRDefault="004955A0" w:rsidP="004955A0">
            <w:r w:rsidRPr="00B9669B">
              <w:rPr>
                <w:u w:val="single"/>
              </w:rPr>
              <w:t>Lease Term</w:t>
            </w:r>
            <w:r w:rsidRPr="00B9669B">
              <w:t xml:space="preserve">.  The period covered by a lease agreement.  It is also the </w:t>
            </w:r>
            <w:proofErr w:type="gramStart"/>
            <w:r w:rsidRPr="00B9669B">
              <w:t>time period</w:t>
            </w:r>
            <w:proofErr w:type="gramEnd"/>
            <w:r w:rsidRPr="00B9669B">
              <w:t xml:space="preserve"> between the date of execution and the expiration date.  </w:t>
            </w:r>
          </w:p>
        </w:tc>
        <w:tc>
          <w:tcPr>
            <w:tcW w:w="1440" w:type="dxa"/>
          </w:tcPr>
          <w:p w14:paraId="7E604BDD" w14:textId="77777777" w:rsidR="004955A0" w:rsidRPr="002D7748" w:rsidRDefault="004955A0" w:rsidP="004955A0">
            <w:pPr>
              <w:spacing w:after="80"/>
            </w:pPr>
            <w:r w:rsidRPr="002D7748">
              <w:t>Section _.9</w:t>
            </w:r>
          </w:p>
        </w:tc>
      </w:tr>
      <w:tr w:rsidR="004955A0" w:rsidRPr="00B9669B" w14:paraId="2C05B2B4" w14:textId="77777777" w:rsidTr="004955A0">
        <w:trPr>
          <w:cantSplit/>
        </w:trPr>
        <w:tc>
          <w:tcPr>
            <w:tcW w:w="8478" w:type="dxa"/>
          </w:tcPr>
          <w:p w14:paraId="16BEF3A5" w14:textId="77777777" w:rsidR="004955A0" w:rsidRPr="00B9669B" w:rsidRDefault="004955A0" w:rsidP="004955A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Leasehold Improvements</w:t>
            </w:r>
            <w:r w:rsidRPr="00B9669B">
              <w:rPr>
                <w:szCs w:val="24"/>
              </w:rPr>
              <w:t>.  Capitalizable improvements to a leased building rather than to an owned building.  Agencies must report leasehold improvements in the Buildings and Improvements category.  The depreciation period for leasehold improvements may be limited by the lease term.  If renewal of the lease is likely, and the useful life of the leasehold improvement extends beyond the lease term, the depreciation period should include all or part of the renewal period.  If renewal of the lease is uncertain, the depreciation period is limited to the remaining lease term, and the salvage value is the amount, if any, that the lesser will pay to the lessee at the end of the lease term.</w:t>
            </w:r>
          </w:p>
        </w:tc>
        <w:tc>
          <w:tcPr>
            <w:tcW w:w="1440" w:type="dxa"/>
          </w:tcPr>
          <w:p w14:paraId="3695CDD2" w14:textId="77777777" w:rsidR="004955A0" w:rsidRPr="002D7748" w:rsidRDefault="004955A0" w:rsidP="004955A0">
            <w:pPr>
              <w:spacing w:after="80"/>
            </w:pPr>
            <w:r w:rsidRPr="002D7748">
              <w:t>Section _.8</w:t>
            </w:r>
          </w:p>
        </w:tc>
      </w:tr>
      <w:tr w:rsidR="004955A0" w:rsidRPr="00B9669B" w14:paraId="7E00D937" w14:textId="77777777" w:rsidTr="004955A0">
        <w:trPr>
          <w:cantSplit/>
        </w:trPr>
        <w:tc>
          <w:tcPr>
            <w:tcW w:w="8478" w:type="dxa"/>
          </w:tcPr>
          <w:p w14:paraId="71A56CD1" w14:textId="77777777" w:rsidR="004955A0" w:rsidRPr="00B9669B" w:rsidRDefault="004955A0" w:rsidP="004955A0">
            <w:pPr>
              <w:spacing w:before="100" w:after="100"/>
            </w:pPr>
            <w:r w:rsidRPr="00B9669B">
              <w:rPr>
                <w:u w:val="single"/>
              </w:rPr>
              <w:t>Legally Separate Entities</w:t>
            </w:r>
            <w:r w:rsidRPr="00B9669B">
              <w:t xml:space="preserve">.  Entities established independent of the State government.  </w:t>
            </w:r>
          </w:p>
        </w:tc>
        <w:tc>
          <w:tcPr>
            <w:tcW w:w="1440" w:type="dxa"/>
          </w:tcPr>
          <w:p w14:paraId="724C8E6D" w14:textId="77777777" w:rsidR="004955A0" w:rsidRPr="002D7748" w:rsidRDefault="004955A0" w:rsidP="004955A0">
            <w:pPr>
              <w:spacing w:after="80"/>
            </w:pPr>
            <w:r w:rsidRPr="002D7748">
              <w:t>General</w:t>
            </w:r>
          </w:p>
        </w:tc>
      </w:tr>
      <w:tr w:rsidR="004955A0" w:rsidRPr="00B9669B" w14:paraId="36BC9615" w14:textId="77777777" w:rsidTr="004955A0">
        <w:trPr>
          <w:cantSplit/>
        </w:trPr>
        <w:tc>
          <w:tcPr>
            <w:tcW w:w="8478" w:type="dxa"/>
          </w:tcPr>
          <w:p w14:paraId="019A094C" w14:textId="77777777" w:rsidR="004955A0" w:rsidRPr="00B9669B" w:rsidRDefault="004955A0" w:rsidP="004955A0">
            <w:r w:rsidRPr="00B9669B">
              <w:rPr>
                <w:u w:val="single"/>
              </w:rPr>
              <w:t>Lessee</w:t>
            </w:r>
            <w:r w:rsidRPr="00B9669B">
              <w:t>.  The "consuming" party in a leasing arrangement.</w:t>
            </w:r>
          </w:p>
        </w:tc>
        <w:tc>
          <w:tcPr>
            <w:tcW w:w="1440" w:type="dxa"/>
          </w:tcPr>
          <w:p w14:paraId="0D6354E5" w14:textId="77777777" w:rsidR="004955A0" w:rsidRPr="002D7748" w:rsidRDefault="004955A0" w:rsidP="004955A0">
            <w:pPr>
              <w:spacing w:after="80"/>
            </w:pPr>
            <w:r w:rsidRPr="002D7748">
              <w:t>Section _.9</w:t>
            </w:r>
          </w:p>
        </w:tc>
      </w:tr>
      <w:tr w:rsidR="004955A0" w:rsidRPr="00B9669B" w14:paraId="49288163" w14:textId="77777777" w:rsidTr="004955A0">
        <w:trPr>
          <w:cantSplit/>
        </w:trPr>
        <w:tc>
          <w:tcPr>
            <w:tcW w:w="8478" w:type="dxa"/>
          </w:tcPr>
          <w:p w14:paraId="7BD66E24" w14:textId="77777777" w:rsidR="004955A0" w:rsidRPr="00B9669B" w:rsidRDefault="004955A0" w:rsidP="004955A0">
            <w:r w:rsidRPr="00B9669B">
              <w:rPr>
                <w:u w:val="single"/>
              </w:rPr>
              <w:t>Lessor</w:t>
            </w:r>
            <w:r w:rsidRPr="00B9669B">
              <w:t>.  The "vending" party in a leasing arrangement.</w:t>
            </w:r>
          </w:p>
        </w:tc>
        <w:tc>
          <w:tcPr>
            <w:tcW w:w="1440" w:type="dxa"/>
          </w:tcPr>
          <w:p w14:paraId="6C4C60BF" w14:textId="77777777" w:rsidR="004955A0" w:rsidRPr="002D7748" w:rsidRDefault="004955A0" w:rsidP="004955A0">
            <w:pPr>
              <w:spacing w:after="80"/>
            </w:pPr>
            <w:r w:rsidRPr="002D7748">
              <w:t>Section _.9</w:t>
            </w:r>
          </w:p>
        </w:tc>
      </w:tr>
      <w:tr w:rsidR="004955A0" w:rsidRPr="00B9669B" w14:paraId="48CB01CC" w14:textId="77777777" w:rsidTr="004955A0">
        <w:trPr>
          <w:cantSplit/>
        </w:trPr>
        <w:tc>
          <w:tcPr>
            <w:tcW w:w="8478" w:type="dxa"/>
          </w:tcPr>
          <w:p w14:paraId="31F89280" w14:textId="77777777" w:rsidR="004955A0" w:rsidRPr="00B9669B" w:rsidRDefault="004955A0" w:rsidP="004955A0">
            <w:r w:rsidRPr="00B9669B">
              <w:rPr>
                <w:u w:val="single"/>
              </w:rPr>
              <w:t>Liability</w:t>
            </w:r>
            <w:r>
              <w:rPr>
                <w:u w:val="single"/>
              </w:rPr>
              <w:t>.</w:t>
            </w:r>
            <w:r w:rsidRPr="00B9669B">
              <w:t xml:space="preserve">  An obligation resulting from past transactions </w:t>
            </w:r>
            <w:r>
              <w:t xml:space="preserve">(or events) </w:t>
            </w:r>
            <w:r w:rsidRPr="00B9669B">
              <w:t xml:space="preserve">that will (or is likely to) result in future payments and/or reductions in future </w:t>
            </w:r>
            <w:r>
              <w:t xml:space="preserve">revenues (or </w:t>
            </w:r>
            <w:r w:rsidRPr="00B9669B">
              <w:t>collections</w:t>
            </w:r>
            <w:r>
              <w:t>)</w:t>
            </w:r>
            <w:r w:rsidRPr="00B9669B">
              <w:t>.</w:t>
            </w:r>
          </w:p>
        </w:tc>
        <w:tc>
          <w:tcPr>
            <w:tcW w:w="1440" w:type="dxa"/>
          </w:tcPr>
          <w:p w14:paraId="281902AE" w14:textId="77777777" w:rsidR="004955A0" w:rsidRDefault="004955A0" w:rsidP="004955A0">
            <w:pPr>
              <w:spacing w:after="80"/>
            </w:pPr>
            <w:r w:rsidRPr="002D7748">
              <w:t xml:space="preserve">General </w:t>
            </w:r>
          </w:p>
          <w:p w14:paraId="6288A04E" w14:textId="77777777" w:rsidR="004955A0" w:rsidRDefault="004955A0" w:rsidP="004955A0">
            <w:pPr>
              <w:spacing w:before="40" w:after="80"/>
            </w:pPr>
            <w:r w:rsidRPr="002D7748">
              <w:t>Section _.2</w:t>
            </w:r>
          </w:p>
          <w:p w14:paraId="2E7ABB09" w14:textId="77777777" w:rsidR="004955A0" w:rsidRDefault="004955A0" w:rsidP="004955A0">
            <w:pPr>
              <w:spacing w:before="40" w:after="80"/>
            </w:pPr>
            <w:r w:rsidRPr="002D7748">
              <w:t>Section _.4</w:t>
            </w:r>
          </w:p>
          <w:p w14:paraId="356614EC" w14:textId="77777777" w:rsidR="004955A0" w:rsidRDefault="004955A0" w:rsidP="004955A0">
            <w:pPr>
              <w:spacing w:before="40" w:after="80"/>
            </w:pPr>
            <w:r w:rsidRPr="002D7748">
              <w:t>Section _.12</w:t>
            </w:r>
          </w:p>
          <w:p w14:paraId="283D749B" w14:textId="77777777" w:rsidR="004955A0" w:rsidRDefault="004955A0" w:rsidP="004955A0">
            <w:pPr>
              <w:spacing w:before="40" w:after="80"/>
            </w:pPr>
            <w:r w:rsidRPr="002D7748">
              <w:t>Section _.13</w:t>
            </w:r>
          </w:p>
          <w:p w14:paraId="58AF341A" w14:textId="77777777" w:rsidR="004955A0" w:rsidRDefault="004955A0" w:rsidP="004955A0">
            <w:pPr>
              <w:spacing w:before="40" w:after="80"/>
            </w:pPr>
            <w:r w:rsidRPr="002D7748">
              <w:t>Section _.14</w:t>
            </w:r>
          </w:p>
          <w:p w14:paraId="546EA276" w14:textId="77777777" w:rsidR="004955A0" w:rsidRDefault="004955A0" w:rsidP="004955A0">
            <w:pPr>
              <w:spacing w:before="40" w:after="80"/>
            </w:pPr>
            <w:r w:rsidRPr="002D7748">
              <w:t>Section _.15</w:t>
            </w:r>
          </w:p>
          <w:p w14:paraId="335B5A9D" w14:textId="77777777" w:rsidR="004955A0" w:rsidRDefault="004955A0" w:rsidP="004955A0">
            <w:pPr>
              <w:spacing w:before="40" w:after="80"/>
            </w:pPr>
            <w:r w:rsidRPr="002D7748">
              <w:t>Section _.16</w:t>
            </w:r>
          </w:p>
          <w:p w14:paraId="52B01964" w14:textId="77777777" w:rsidR="004955A0" w:rsidRPr="002D7748" w:rsidRDefault="004955A0" w:rsidP="004955A0">
            <w:pPr>
              <w:spacing w:before="40" w:after="80"/>
            </w:pPr>
            <w:r w:rsidRPr="002D7748">
              <w:t>Section _.17</w:t>
            </w:r>
          </w:p>
        </w:tc>
      </w:tr>
      <w:tr w:rsidR="004955A0" w:rsidRPr="00B9669B" w14:paraId="073AAB3E" w14:textId="77777777" w:rsidTr="004955A0">
        <w:trPr>
          <w:cantSplit/>
        </w:trPr>
        <w:tc>
          <w:tcPr>
            <w:tcW w:w="8478" w:type="dxa"/>
          </w:tcPr>
          <w:p w14:paraId="2F10BB3D" w14:textId="77777777" w:rsidR="004955A0" w:rsidRPr="00B9669B" w:rsidRDefault="004955A0" w:rsidP="004955A0">
            <w:pPr>
              <w:spacing w:before="100" w:after="100"/>
              <w:rPr>
                <w:u w:val="single"/>
              </w:rPr>
            </w:pPr>
            <w:r w:rsidRPr="00B9669B">
              <w:rPr>
                <w:u w:val="single"/>
              </w:rPr>
              <w:t>Litigation</w:t>
            </w:r>
            <w:r w:rsidRPr="00B9669B">
              <w:t xml:space="preserve">.  Disputes or legal contests carried out and resolved through the judicial process.  </w:t>
            </w:r>
          </w:p>
        </w:tc>
        <w:tc>
          <w:tcPr>
            <w:tcW w:w="1440" w:type="dxa"/>
          </w:tcPr>
          <w:p w14:paraId="2FEBDB9E" w14:textId="77777777" w:rsidR="004955A0" w:rsidRDefault="004955A0" w:rsidP="004955A0">
            <w:pPr>
              <w:spacing w:after="80"/>
            </w:pPr>
            <w:r w:rsidRPr="002D7748">
              <w:t>General</w:t>
            </w:r>
          </w:p>
          <w:p w14:paraId="065508AE" w14:textId="77777777" w:rsidR="004955A0" w:rsidRPr="002D7748" w:rsidRDefault="004955A0" w:rsidP="004955A0">
            <w:pPr>
              <w:spacing w:before="40" w:after="80"/>
            </w:pPr>
            <w:r w:rsidRPr="002D7748">
              <w:t>Section _.13</w:t>
            </w:r>
          </w:p>
        </w:tc>
      </w:tr>
      <w:tr w:rsidR="004955A0" w:rsidRPr="00B9669B" w14:paraId="7625BBC8" w14:textId="77777777" w:rsidTr="004955A0">
        <w:trPr>
          <w:cantSplit/>
        </w:trPr>
        <w:tc>
          <w:tcPr>
            <w:tcW w:w="8478" w:type="dxa"/>
          </w:tcPr>
          <w:p w14:paraId="70C82D8E" w14:textId="51C1E233"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u w:val="single"/>
              </w:rPr>
            </w:pPr>
            <w:r w:rsidRPr="00B9669B">
              <w:rPr>
                <w:szCs w:val="24"/>
                <w:u w:val="single"/>
              </w:rPr>
              <w:lastRenderedPageBreak/>
              <w:t>Loan Agreement.</w:t>
            </w:r>
            <w:r w:rsidRPr="00B9669B">
              <w:rPr>
                <w:szCs w:val="24"/>
              </w:rPr>
              <w:t xml:space="preserve">  An agreement between two parties involving the providing of resources by the lender with an agreement from the borrower that repayment will occur in the future.  Typically</w:t>
            </w:r>
            <w:r>
              <w:rPr>
                <w:szCs w:val="24"/>
              </w:rPr>
              <w:t>,</w:t>
            </w:r>
            <w:r w:rsidRPr="00B9669B">
              <w:rPr>
                <w:szCs w:val="24"/>
              </w:rPr>
              <w:t xml:space="preserve"> the agreement specifies the terms of the agreement for periodic repayment, final maturity, interest rate, method of calculating the interest, and the collateral </w:t>
            </w:r>
            <w:r w:rsidR="00651AA2">
              <w:rPr>
                <w:szCs w:val="24"/>
              </w:rPr>
              <w:t xml:space="preserve">or security </w:t>
            </w:r>
            <w:r w:rsidRPr="00B9669B">
              <w:rPr>
                <w:szCs w:val="24"/>
              </w:rPr>
              <w:t xml:space="preserve">required by the lender to execute the agreement.  </w:t>
            </w:r>
            <w:r w:rsidR="001537F0">
              <w:rPr>
                <w:szCs w:val="24"/>
              </w:rPr>
              <w:t xml:space="preserve"> While loan agreements tend to be more formal and complex than note agreements, loan agreements and note agreements are considered synonymous for financial reporting purposes. </w:t>
            </w:r>
          </w:p>
        </w:tc>
        <w:tc>
          <w:tcPr>
            <w:tcW w:w="1440" w:type="dxa"/>
          </w:tcPr>
          <w:p w14:paraId="4A889E17" w14:textId="77777777" w:rsidR="004955A0" w:rsidRPr="002D7748"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80"/>
              <w:rPr>
                <w:szCs w:val="24"/>
              </w:rPr>
            </w:pPr>
            <w:r w:rsidRPr="002D7748">
              <w:t>Section _.10</w:t>
            </w:r>
          </w:p>
        </w:tc>
      </w:tr>
      <w:tr w:rsidR="004955A0" w:rsidRPr="00B9669B" w14:paraId="7584A045" w14:textId="77777777" w:rsidTr="004955A0">
        <w:trPr>
          <w:cantSplit/>
        </w:trPr>
        <w:tc>
          <w:tcPr>
            <w:tcW w:w="8478" w:type="dxa"/>
          </w:tcPr>
          <w:p w14:paraId="20A1E949" w14:textId="77777777" w:rsidR="004955A0" w:rsidRPr="00B9669B"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rPr>
            </w:pPr>
            <w:r w:rsidRPr="00B9669B">
              <w:rPr>
                <w:szCs w:val="24"/>
                <w:u w:val="single"/>
              </w:rPr>
              <w:t>Loans Receivable</w:t>
            </w:r>
            <w:r w:rsidRPr="00B9669B">
              <w:rPr>
                <w:szCs w:val="24"/>
              </w:rPr>
              <w:t xml:space="preserve">.  Outstanding principal balances </w:t>
            </w:r>
            <w:proofErr w:type="gramStart"/>
            <w:r w:rsidRPr="00B9669B">
              <w:rPr>
                <w:szCs w:val="24"/>
              </w:rPr>
              <w:t>at</w:t>
            </w:r>
            <w:proofErr w:type="gramEnd"/>
            <w:r w:rsidRPr="00B9669B">
              <w:rPr>
                <w:szCs w:val="24"/>
              </w:rPr>
              <w:t xml:space="preserve"> June 30 on loan agreements that the State made to non-State parties.</w:t>
            </w:r>
          </w:p>
        </w:tc>
        <w:tc>
          <w:tcPr>
            <w:tcW w:w="1440" w:type="dxa"/>
          </w:tcPr>
          <w:p w14:paraId="7E7F5248" w14:textId="77777777" w:rsidR="004955A0" w:rsidRPr="002D7748" w:rsidRDefault="004955A0" w:rsidP="0049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80"/>
              <w:rPr>
                <w:szCs w:val="24"/>
              </w:rPr>
            </w:pPr>
            <w:r w:rsidRPr="002D7748">
              <w:t>Section _.10</w:t>
            </w:r>
          </w:p>
        </w:tc>
      </w:tr>
      <w:tr w:rsidR="004955A0" w:rsidRPr="00B9669B" w14:paraId="3675855D" w14:textId="77777777" w:rsidTr="004955A0">
        <w:trPr>
          <w:cantSplit/>
        </w:trPr>
        <w:tc>
          <w:tcPr>
            <w:tcW w:w="8478" w:type="dxa"/>
          </w:tcPr>
          <w:p w14:paraId="7C056AAD" w14:textId="77777777" w:rsidR="004955A0" w:rsidRPr="00B9669B" w:rsidRDefault="004955A0" w:rsidP="004955A0">
            <w:pPr>
              <w:keepLines/>
              <w:spacing w:before="100" w:after="100"/>
              <w:rPr>
                <w:u w:val="single"/>
              </w:rPr>
            </w:pPr>
            <w:r w:rsidRPr="00B9669B">
              <w:rPr>
                <w:u w:val="single"/>
              </w:rPr>
              <w:t>Long-term.</w:t>
            </w:r>
            <w:r w:rsidRPr="00B9669B">
              <w:t xml:space="preserve">  A reporting classification for assets and liabilities identifying assets </w:t>
            </w:r>
            <w:r w:rsidRPr="00B9669B">
              <w:rPr>
                <w:b/>
              </w:rPr>
              <w:t>not</w:t>
            </w:r>
            <w:r w:rsidRPr="00B9669B">
              <w:t xml:space="preserve"> expected to be liquidated within one fiscal year (</w:t>
            </w:r>
            <w:r>
              <w:t xml:space="preserve">until </w:t>
            </w:r>
            <w:r w:rsidRPr="00B9669B">
              <w:t xml:space="preserve">after the next June 30) and liabilities </w:t>
            </w:r>
            <w:r w:rsidRPr="00B9669B">
              <w:rPr>
                <w:b/>
              </w:rPr>
              <w:t>not</w:t>
            </w:r>
            <w:r w:rsidRPr="00B9669B">
              <w:t xml:space="preserve"> expected to be paid within one fiscal year.</w:t>
            </w:r>
          </w:p>
        </w:tc>
        <w:tc>
          <w:tcPr>
            <w:tcW w:w="1440" w:type="dxa"/>
          </w:tcPr>
          <w:p w14:paraId="76DA7989" w14:textId="77777777" w:rsidR="004955A0" w:rsidRPr="002D7748" w:rsidRDefault="004955A0" w:rsidP="004955A0">
            <w:pPr>
              <w:spacing w:after="80"/>
            </w:pPr>
            <w:r w:rsidRPr="002D7748">
              <w:t>General</w:t>
            </w:r>
          </w:p>
        </w:tc>
      </w:tr>
      <w:tr w:rsidR="004955A0" w:rsidRPr="00B9669B" w14:paraId="6D83A069" w14:textId="77777777" w:rsidTr="004955A0">
        <w:trPr>
          <w:cantSplit/>
        </w:trPr>
        <w:tc>
          <w:tcPr>
            <w:tcW w:w="8478" w:type="dxa"/>
          </w:tcPr>
          <w:p w14:paraId="558A1FB8" w14:textId="77777777" w:rsidR="004955A0" w:rsidRPr="00B9669B" w:rsidRDefault="004955A0" w:rsidP="004955A0">
            <w:pPr>
              <w:spacing w:before="60" w:after="60"/>
            </w:pPr>
            <w:r>
              <w:rPr>
                <w:u w:val="single"/>
              </w:rPr>
              <w:t>Long-</w:t>
            </w:r>
            <w:r w:rsidRPr="00B9669B">
              <w:rPr>
                <w:u w:val="single"/>
              </w:rPr>
              <w:t>Term Liability</w:t>
            </w:r>
            <w:r w:rsidRPr="00B9669B">
              <w:t xml:space="preserve">.  A liability </w:t>
            </w:r>
            <w:proofErr w:type="gramStart"/>
            <w:r>
              <w:t>at</w:t>
            </w:r>
            <w:proofErr w:type="gramEnd"/>
            <w:r>
              <w:t xml:space="preserve"> June 30</w:t>
            </w:r>
            <w:r w:rsidRPr="00FB6DC1">
              <w:rPr>
                <w:vertAlign w:val="superscript"/>
              </w:rPr>
              <w:t>th</w:t>
            </w:r>
            <w:r>
              <w:t xml:space="preserve"> </w:t>
            </w:r>
            <w:r w:rsidRPr="00B9669B">
              <w:rPr>
                <w:szCs w:val="24"/>
              </w:rPr>
              <w:t xml:space="preserve">that </w:t>
            </w:r>
            <w:r>
              <w:rPr>
                <w:szCs w:val="24"/>
              </w:rPr>
              <w:t>is</w:t>
            </w:r>
            <w:r w:rsidRPr="00B9669B">
              <w:rPr>
                <w:szCs w:val="24"/>
              </w:rPr>
              <w:t xml:space="preserve"> </w:t>
            </w:r>
            <w:r w:rsidRPr="00B9669B">
              <w:rPr>
                <w:i/>
                <w:iCs/>
                <w:szCs w:val="24"/>
              </w:rPr>
              <w:t>not</w:t>
            </w:r>
            <w:r w:rsidRPr="00B9669B">
              <w:rPr>
                <w:szCs w:val="24"/>
              </w:rPr>
              <w:t xml:space="preserve"> expected to paid during the next fiscal year but in periods beyond the next fiscal year.  </w:t>
            </w:r>
            <w:r w:rsidRPr="00B9669B">
              <w:t xml:space="preserve"> </w:t>
            </w:r>
          </w:p>
        </w:tc>
        <w:tc>
          <w:tcPr>
            <w:tcW w:w="1440" w:type="dxa"/>
          </w:tcPr>
          <w:p w14:paraId="2EEFB501" w14:textId="77777777" w:rsidR="004955A0" w:rsidRDefault="004955A0" w:rsidP="004955A0">
            <w:pPr>
              <w:spacing w:after="80"/>
            </w:pPr>
            <w:r w:rsidRPr="002D7748">
              <w:t>Section _.13</w:t>
            </w:r>
          </w:p>
          <w:p w14:paraId="3CFFB510" w14:textId="77777777" w:rsidR="004955A0" w:rsidRDefault="004955A0" w:rsidP="004955A0">
            <w:pPr>
              <w:spacing w:before="40" w:after="80"/>
            </w:pPr>
            <w:r w:rsidRPr="002D7748">
              <w:t>Section _.15</w:t>
            </w:r>
          </w:p>
          <w:p w14:paraId="38D20E84" w14:textId="77777777" w:rsidR="004955A0" w:rsidRPr="002D7748" w:rsidRDefault="004955A0" w:rsidP="004955A0">
            <w:pPr>
              <w:spacing w:before="40" w:after="80"/>
            </w:pPr>
            <w:r w:rsidRPr="002D7748">
              <w:t>Section _.16</w:t>
            </w:r>
          </w:p>
        </w:tc>
      </w:tr>
      <w:tr w:rsidR="004955A0" w:rsidRPr="00B9669B" w14:paraId="32BFB9D2" w14:textId="77777777" w:rsidTr="004955A0">
        <w:trPr>
          <w:cantSplit/>
        </w:trPr>
        <w:tc>
          <w:tcPr>
            <w:tcW w:w="8478" w:type="dxa"/>
          </w:tcPr>
          <w:p w14:paraId="6DADE0C4" w14:textId="77777777" w:rsidR="004955A0" w:rsidRPr="00B9669B" w:rsidRDefault="004955A0" w:rsidP="004955A0">
            <w:pPr>
              <w:spacing w:before="100" w:after="100"/>
            </w:pPr>
            <w:r w:rsidRPr="00B9669B">
              <w:rPr>
                <w:u w:val="single"/>
              </w:rPr>
              <w:t>Loss Contingency</w:t>
            </w:r>
            <w:r w:rsidRPr="00B9669B">
              <w:t xml:space="preserve">.  A situation involving uncertainty as to possible loss.  The uncertainty will be resolved when certain events occur or fail to occur.  </w:t>
            </w:r>
          </w:p>
        </w:tc>
        <w:tc>
          <w:tcPr>
            <w:tcW w:w="1440" w:type="dxa"/>
          </w:tcPr>
          <w:p w14:paraId="4294AC86" w14:textId="77777777" w:rsidR="004955A0" w:rsidRDefault="004955A0" w:rsidP="004955A0">
            <w:pPr>
              <w:spacing w:after="80"/>
            </w:pPr>
            <w:r w:rsidRPr="002D7748">
              <w:t>General</w:t>
            </w:r>
          </w:p>
          <w:p w14:paraId="5CAB6B1E" w14:textId="77777777" w:rsidR="004955A0" w:rsidRDefault="004955A0" w:rsidP="004955A0">
            <w:pPr>
              <w:spacing w:before="40" w:after="80"/>
            </w:pPr>
            <w:r w:rsidRPr="002D7748">
              <w:t>Section _.13</w:t>
            </w:r>
          </w:p>
          <w:p w14:paraId="373940F4" w14:textId="77777777" w:rsidR="004955A0" w:rsidRDefault="004955A0" w:rsidP="004955A0">
            <w:pPr>
              <w:spacing w:before="40" w:after="80"/>
            </w:pPr>
            <w:r w:rsidRPr="002D7748">
              <w:t>Section _.14</w:t>
            </w:r>
          </w:p>
          <w:p w14:paraId="2A7DAF6D" w14:textId="77777777" w:rsidR="004955A0" w:rsidRPr="002D7748" w:rsidRDefault="004955A0" w:rsidP="004955A0">
            <w:pPr>
              <w:spacing w:before="40" w:after="80"/>
            </w:pPr>
            <w:r w:rsidRPr="002D7748">
              <w:t>Section _.16</w:t>
            </w:r>
          </w:p>
        </w:tc>
      </w:tr>
      <w:tr w:rsidR="004955A0" w:rsidRPr="00B9669B" w14:paraId="4007EF7E" w14:textId="77777777" w:rsidTr="004955A0">
        <w:trPr>
          <w:cantSplit/>
        </w:trPr>
        <w:tc>
          <w:tcPr>
            <w:tcW w:w="8478" w:type="dxa"/>
          </w:tcPr>
          <w:p w14:paraId="0048833C" w14:textId="77777777" w:rsidR="004955A0" w:rsidRPr="00B9669B" w:rsidRDefault="004955A0" w:rsidP="004955A0">
            <w:pPr>
              <w:spacing w:before="100" w:after="100"/>
            </w:pPr>
            <w:r w:rsidRPr="00B9669B">
              <w:rPr>
                <w:u w:val="single"/>
              </w:rPr>
              <w:t>Loss Liability</w:t>
            </w:r>
            <w:r w:rsidRPr="00B9669B">
              <w:t xml:space="preserve">.  A liability arising from an event which results in a loss.  </w:t>
            </w:r>
            <w:r w:rsidRPr="00B9669B">
              <w:rPr>
                <w:szCs w:val="24"/>
              </w:rPr>
              <w:t xml:space="preserve">Known losses </w:t>
            </w:r>
            <w:proofErr w:type="gramStart"/>
            <w:r w:rsidRPr="00B9669B">
              <w:rPr>
                <w:szCs w:val="24"/>
              </w:rPr>
              <w:t>at</w:t>
            </w:r>
            <w:proofErr w:type="gramEnd"/>
            <w:r w:rsidRPr="00B9669B">
              <w:rPr>
                <w:szCs w:val="24"/>
              </w:rPr>
              <w:t xml:space="preserve"> June 30 for which the State has an obligation to make future payments.</w:t>
            </w:r>
          </w:p>
        </w:tc>
        <w:tc>
          <w:tcPr>
            <w:tcW w:w="1440" w:type="dxa"/>
          </w:tcPr>
          <w:p w14:paraId="78DF5562" w14:textId="77777777" w:rsidR="004955A0" w:rsidRDefault="004955A0" w:rsidP="004955A0">
            <w:pPr>
              <w:spacing w:after="80"/>
            </w:pPr>
            <w:r w:rsidRPr="002D7748">
              <w:t>General</w:t>
            </w:r>
          </w:p>
          <w:p w14:paraId="2ADB8079" w14:textId="77777777" w:rsidR="004955A0" w:rsidRDefault="004955A0" w:rsidP="004955A0">
            <w:pPr>
              <w:spacing w:before="40" w:after="80"/>
            </w:pPr>
            <w:r w:rsidRPr="002D7748">
              <w:t>Section _.14</w:t>
            </w:r>
          </w:p>
          <w:p w14:paraId="41DC6B2A" w14:textId="77777777" w:rsidR="004955A0" w:rsidRPr="002D7748" w:rsidRDefault="004955A0" w:rsidP="004955A0">
            <w:pPr>
              <w:spacing w:before="40" w:after="80"/>
            </w:pPr>
            <w:r w:rsidRPr="002D7748">
              <w:t>Section _.16</w:t>
            </w:r>
          </w:p>
        </w:tc>
      </w:tr>
      <w:tr w:rsidR="004955A0" w:rsidRPr="00B9669B" w14:paraId="5B29B054" w14:textId="77777777" w:rsidTr="004955A0">
        <w:trPr>
          <w:cantSplit/>
        </w:trPr>
        <w:tc>
          <w:tcPr>
            <w:tcW w:w="8478" w:type="dxa"/>
          </w:tcPr>
          <w:p w14:paraId="0B7B8852" w14:textId="5FA8F028" w:rsidR="004955A0" w:rsidRPr="00B9669B" w:rsidRDefault="004955A0" w:rsidP="004955A0">
            <w:pPr>
              <w:keepLines/>
              <w:rPr>
                <w:szCs w:val="24"/>
                <w:u w:val="single"/>
              </w:rPr>
            </w:pPr>
            <w:r w:rsidRPr="00B9669B">
              <w:rPr>
                <w:szCs w:val="24"/>
                <w:u w:val="single"/>
              </w:rPr>
              <w:t>Low Value Assets (LVA</w:t>
            </w:r>
            <w:r w:rsidRPr="00B9669B">
              <w:rPr>
                <w:szCs w:val="24"/>
              </w:rPr>
              <w:t>).  All assets purchased that have a useful life within the capitalization criteria (</w:t>
            </w:r>
            <w:r w:rsidR="00000BF2">
              <w:rPr>
                <w:szCs w:val="24"/>
              </w:rPr>
              <w:t>at least</w:t>
            </w:r>
            <w:r w:rsidRPr="00B9669B">
              <w:rPr>
                <w:szCs w:val="24"/>
              </w:rPr>
              <w:t xml:space="preserve"> 2 years, as detailed in Exhibit 3.8(A)) but do not meet the capitalization threshold criteria ($5,000 for moveable assets or $100,000 for all other assets, as detailed </w:t>
            </w:r>
            <w:r w:rsidR="00D77C74">
              <w:rPr>
                <w:szCs w:val="24"/>
              </w:rPr>
              <w:t xml:space="preserve">in </w:t>
            </w:r>
            <w:r w:rsidRPr="00B9669B">
              <w:rPr>
                <w:szCs w:val="24"/>
              </w:rPr>
              <w:t xml:space="preserve">Exhibit 3.8(A)).  </w:t>
            </w:r>
          </w:p>
        </w:tc>
        <w:tc>
          <w:tcPr>
            <w:tcW w:w="1440" w:type="dxa"/>
          </w:tcPr>
          <w:p w14:paraId="1D297993" w14:textId="77777777" w:rsidR="004955A0" w:rsidRPr="002D7748" w:rsidRDefault="004955A0" w:rsidP="004955A0">
            <w:pPr>
              <w:spacing w:after="80"/>
            </w:pPr>
            <w:r w:rsidRPr="002D7748">
              <w:t>Section _.8</w:t>
            </w:r>
          </w:p>
        </w:tc>
      </w:tr>
      <w:tr w:rsidR="004955A0" w:rsidRPr="00B9669B" w14:paraId="45A25436" w14:textId="77777777" w:rsidTr="004955A0">
        <w:trPr>
          <w:cantSplit/>
        </w:trPr>
        <w:tc>
          <w:tcPr>
            <w:tcW w:w="8478" w:type="dxa"/>
          </w:tcPr>
          <w:p w14:paraId="695E5BA2" w14:textId="649A2E59"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Machinery and Equipment</w:t>
            </w:r>
            <w:r w:rsidRPr="00B9669B">
              <w:rPr>
                <w:szCs w:val="24"/>
              </w:rPr>
              <w:t>.  Any mov</w:t>
            </w:r>
            <w:r w:rsidR="002226EB">
              <w:rPr>
                <w:szCs w:val="24"/>
              </w:rPr>
              <w:t>e</w:t>
            </w:r>
            <w:r w:rsidRPr="00B9669B">
              <w:rPr>
                <w:szCs w:val="24"/>
              </w:rPr>
              <w:t xml:space="preserve">able tangible assets used for operations that do not meet the definition of vehicles </w:t>
            </w:r>
            <w:r w:rsidRPr="00B9669B">
              <w:t xml:space="preserve">(see definition </w:t>
            </w:r>
            <w:r>
              <w:t>provided in this glossary</w:t>
            </w:r>
            <w:r w:rsidRPr="00B9669B">
              <w:t>)</w:t>
            </w:r>
            <w:r w:rsidRPr="00B9669B">
              <w:rPr>
                <w:szCs w:val="24"/>
              </w:rPr>
              <w:t>.  Examples include furniture and fixtures, office equipment, and other miscellaneous mov</w:t>
            </w:r>
            <w:r w:rsidR="002226EB">
              <w:rPr>
                <w:szCs w:val="24"/>
              </w:rPr>
              <w:t>e</w:t>
            </w:r>
            <w:r w:rsidRPr="00B9669B">
              <w:rPr>
                <w:szCs w:val="24"/>
              </w:rPr>
              <w:t xml:space="preserve">able equipment.  </w:t>
            </w:r>
          </w:p>
        </w:tc>
        <w:tc>
          <w:tcPr>
            <w:tcW w:w="1440" w:type="dxa"/>
          </w:tcPr>
          <w:p w14:paraId="63EE3CE0" w14:textId="77777777" w:rsidR="004955A0" w:rsidRPr="002D7748" w:rsidRDefault="004955A0" w:rsidP="004955A0">
            <w:pPr>
              <w:spacing w:after="80"/>
            </w:pPr>
            <w:r w:rsidRPr="002D7748">
              <w:t>Section _.8</w:t>
            </w:r>
          </w:p>
        </w:tc>
      </w:tr>
      <w:tr w:rsidR="004955A0" w:rsidRPr="00B9669B" w14:paraId="04A5DE34" w14:textId="77777777" w:rsidTr="004955A0">
        <w:trPr>
          <w:cantSplit/>
        </w:trPr>
        <w:tc>
          <w:tcPr>
            <w:tcW w:w="8478" w:type="dxa"/>
          </w:tcPr>
          <w:p w14:paraId="7F85789A" w14:textId="77777777" w:rsidR="004955A0" w:rsidRPr="00B9669B" w:rsidRDefault="004955A0" w:rsidP="004955A0">
            <w:pPr>
              <w:spacing w:before="100" w:after="100"/>
              <w:rPr>
                <w:u w:val="single"/>
              </w:rPr>
            </w:pPr>
            <w:r w:rsidRPr="00B9669B">
              <w:rPr>
                <w:u w:val="single"/>
              </w:rPr>
              <w:lastRenderedPageBreak/>
              <w:t>Measurable</w:t>
            </w:r>
            <w:r w:rsidRPr="00B9669B">
              <w:t xml:space="preserve">.  </w:t>
            </w:r>
            <w:r w:rsidRPr="00B9669B">
              <w:rPr>
                <w:szCs w:val="24"/>
              </w:rPr>
              <w:t xml:space="preserve">The amount of the transaction is </w:t>
            </w:r>
            <w:proofErr w:type="gramStart"/>
            <w:r w:rsidRPr="00B9669B">
              <w:rPr>
                <w:szCs w:val="24"/>
              </w:rPr>
              <w:t>known</w:t>
            </w:r>
            <w:proofErr w:type="gramEnd"/>
            <w:r w:rsidRPr="00B9669B">
              <w:rPr>
                <w:szCs w:val="24"/>
              </w:rPr>
              <w:t xml:space="preserve"> or sufficient information is available to reasonably estimate the amount to be received.</w:t>
            </w:r>
            <w:r>
              <w:rPr>
                <w:szCs w:val="24"/>
              </w:rPr>
              <w:t xml:space="preserve">  </w:t>
            </w:r>
            <w:r w:rsidRPr="00B9669B">
              <w:t xml:space="preserve">A reasonable estimate of value is available.  </w:t>
            </w:r>
          </w:p>
        </w:tc>
        <w:tc>
          <w:tcPr>
            <w:tcW w:w="1440" w:type="dxa"/>
          </w:tcPr>
          <w:p w14:paraId="3E7095BF" w14:textId="77777777" w:rsidR="004955A0" w:rsidRDefault="004955A0" w:rsidP="004955A0">
            <w:pPr>
              <w:spacing w:after="80"/>
            </w:pPr>
            <w:r w:rsidRPr="002D7748">
              <w:t>General</w:t>
            </w:r>
          </w:p>
          <w:p w14:paraId="002D8626" w14:textId="77777777" w:rsidR="004955A0" w:rsidRDefault="004955A0" w:rsidP="004955A0">
            <w:pPr>
              <w:spacing w:before="40" w:after="80"/>
            </w:pPr>
            <w:r w:rsidRPr="002D7748">
              <w:t>Section _.2</w:t>
            </w:r>
          </w:p>
          <w:p w14:paraId="6D801766" w14:textId="77777777" w:rsidR="004955A0" w:rsidRDefault="004955A0" w:rsidP="004955A0">
            <w:pPr>
              <w:spacing w:before="40" w:after="80"/>
            </w:pPr>
            <w:r w:rsidRPr="002D7748">
              <w:t>Section _.3</w:t>
            </w:r>
          </w:p>
          <w:p w14:paraId="660E9BB7" w14:textId="77777777" w:rsidR="004955A0" w:rsidRDefault="004955A0" w:rsidP="004955A0">
            <w:pPr>
              <w:spacing w:before="40" w:after="80"/>
            </w:pPr>
            <w:r w:rsidRPr="002D7748">
              <w:t>Section _.4</w:t>
            </w:r>
          </w:p>
          <w:p w14:paraId="5978A6DA" w14:textId="77777777" w:rsidR="004955A0" w:rsidRPr="002D7748" w:rsidRDefault="004955A0" w:rsidP="004955A0">
            <w:pPr>
              <w:spacing w:before="40" w:after="80"/>
            </w:pPr>
            <w:r w:rsidRPr="002D7748">
              <w:t>Section _.5</w:t>
            </w:r>
          </w:p>
        </w:tc>
      </w:tr>
      <w:tr w:rsidR="004955A0" w:rsidRPr="00B9669B" w14:paraId="421F10FD" w14:textId="77777777" w:rsidTr="004955A0">
        <w:trPr>
          <w:cantSplit/>
        </w:trPr>
        <w:tc>
          <w:tcPr>
            <w:tcW w:w="8478" w:type="dxa"/>
          </w:tcPr>
          <w:p w14:paraId="6A4A1EAB" w14:textId="77777777" w:rsidR="004955A0" w:rsidRPr="00B9669B" w:rsidRDefault="004955A0" w:rsidP="004955A0">
            <w:r w:rsidRPr="00B9669B">
              <w:rPr>
                <w:u w:val="single"/>
              </w:rPr>
              <w:t>Merchandise Inventory</w:t>
            </w:r>
            <w:r w:rsidRPr="00B9669B">
              <w:t xml:space="preserve">.  Inventory items purchased for resale at a retail price to external parties.  </w:t>
            </w:r>
          </w:p>
        </w:tc>
        <w:tc>
          <w:tcPr>
            <w:tcW w:w="1440" w:type="dxa"/>
          </w:tcPr>
          <w:p w14:paraId="388785A6" w14:textId="77777777" w:rsidR="004955A0" w:rsidRPr="002D7748" w:rsidRDefault="004955A0" w:rsidP="004955A0">
            <w:pPr>
              <w:spacing w:after="80"/>
            </w:pPr>
            <w:r w:rsidRPr="002D7748">
              <w:t>Section _.6</w:t>
            </w:r>
          </w:p>
        </w:tc>
      </w:tr>
      <w:tr w:rsidR="004955A0" w:rsidRPr="00B9669B" w14:paraId="4E3CCB23" w14:textId="77777777" w:rsidTr="004955A0">
        <w:trPr>
          <w:cantSplit/>
        </w:trPr>
        <w:tc>
          <w:tcPr>
            <w:tcW w:w="8478" w:type="dxa"/>
          </w:tcPr>
          <w:p w14:paraId="3CDB9207" w14:textId="77777777" w:rsidR="004955A0" w:rsidRPr="00B9669B" w:rsidRDefault="004955A0" w:rsidP="004955A0">
            <w:r w:rsidRPr="00B9669B">
              <w:rPr>
                <w:u w:val="single"/>
              </w:rPr>
              <w:t>Minimum Lease Payment</w:t>
            </w:r>
            <w:r w:rsidRPr="00B9669B">
              <w:t xml:space="preserve">.  The amount required to be paid by the lessee to the lessor under the lease agreement.  The frequency of the payments is stated in the lease agreement.  </w:t>
            </w:r>
          </w:p>
        </w:tc>
        <w:tc>
          <w:tcPr>
            <w:tcW w:w="1440" w:type="dxa"/>
          </w:tcPr>
          <w:p w14:paraId="4E7DE165" w14:textId="77777777" w:rsidR="004955A0" w:rsidRPr="002D7748" w:rsidRDefault="004955A0" w:rsidP="004955A0">
            <w:pPr>
              <w:spacing w:after="80"/>
            </w:pPr>
            <w:r w:rsidRPr="002D7748">
              <w:t>Section _.9</w:t>
            </w:r>
          </w:p>
        </w:tc>
      </w:tr>
      <w:tr w:rsidR="004955A0" w:rsidRPr="00B9669B" w14:paraId="66340AD2" w14:textId="77777777" w:rsidTr="004955A0">
        <w:trPr>
          <w:cantSplit/>
        </w:trPr>
        <w:tc>
          <w:tcPr>
            <w:tcW w:w="8478" w:type="dxa"/>
          </w:tcPr>
          <w:p w14:paraId="0D49E9B1" w14:textId="77777777" w:rsidR="004955A0" w:rsidRPr="00B9669B" w:rsidRDefault="004955A0" w:rsidP="004955A0">
            <w:pPr>
              <w:rPr>
                <w:szCs w:val="24"/>
              </w:rPr>
            </w:pPr>
            <w:r w:rsidRPr="00B9669B">
              <w:rPr>
                <w:szCs w:val="24"/>
                <w:u w:val="single"/>
              </w:rPr>
              <w:t>Modified Accrual Basis</w:t>
            </w:r>
            <w:r w:rsidRPr="00B9669B">
              <w:rPr>
                <w:szCs w:val="24"/>
              </w:rPr>
              <w:t xml:space="preserve">.  A basis of accounting limiting the recognition of assets and liabilities based on a current financial </w:t>
            </w:r>
            <w:proofErr w:type="gramStart"/>
            <w:r w:rsidRPr="00B9669B">
              <w:rPr>
                <w:szCs w:val="24"/>
              </w:rPr>
              <w:t>resources</w:t>
            </w:r>
            <w:proofErr w:type="gramEnd"/>
            <w:r w:rsidRPr="00B9669B">
              <w:rPr>
                <w:szCs w:val="24"/>
              </w:rPr>
              <w:t xml:space="preserve"> measurement focus.  Revenues are reported under the modified accrual basis in the fiscal year in which they are both measurable and available.  </w:t>
            </w:r>
          </w:p>
        </w:tc>
        <w:tc>
          <w:tcPr>
            <w:tcW w:w="1440" w:type="dxa"/>
          </w:tcPr>
          <w:p w14:paraId="6796D4F5" w14:textId="77777777" w:rsidR="004955A0" w:rsidRDefault="004955A0" w:rsidP="004955A0">
            <w:pPr>
              <w:spacing w:after="80"/>
            </w:pPr>
            <w:r w:rsidRPr="002D7748">
              <w:t>Section _.2</w:t>
            </w:r>
          </w:p>
          <w:p w14:paraId="2074BAE9" w14:textId="77777777" w:rsidR="004955A0" w:rsidRDefault="004955A0" w:rsidP="004955A0">
            <w:pPr>
              <w:spacing w:before="40" w:after="80"/>
            </w:pPr>
            <w:r w:rsidRPr="002D7748">
              <w:t>Section _.3</w:t>
            </w:r>
          </w:p>
          <w:p w14:paraId="39333272" w14:textId="77777777" w:rsidR="004955A0" w:rsidRDefault="004955A0" w:rsidP="004955A0">
            <w:pPr>
              <w:spacing w:before="40" w:after="80"/>
            </w:pPr>
            <w:r w:rsidRPr="002D7748">
              <w:t>Section _.4</w:t>
            </w:r>
          </w:p>
          <w:p w14:paraId="7C2302EC" w14:textId="77777777" w:rsidR="004955A0" w:rsidRPr="002D7748" w:rsidRDefault="004955A0" w:rsidP="004955A0">
            <w:pPr>
              <w:spacing w:before="40" w:after="80"/>
            </w:pPr>
            <w:r w:rsidRPr="002D7748">
              <w:t>Section _.5</w:t>
            </w:r>
          </w:p>
        </w:tc>
      </w:tr>
      <w:tr w:rsidR="004955A0" w:rsidRPr="00B9669B" w14:paraId="418A5FF4" w14:textId="77777777" w:rsidTr="004955A0">
        <w:trPr>
          <w:cantSplit/>
        </w:trPr>
        <w:tc>
          <w:tcPr>
            <w:tcW w:w="8478" w:type="dxa"/>
          </w:tcPr>
          <w:p w14:paraId="75901A7D" w14:textId="77777777" w:rsidR="004955A0" w:rsidRPr="00B9669B" w:rsidRDefault="004955A0" w:rsidP="004955A0">
            <w:pPr>
              <w:rPr>
                <w:szCs w:val="24"/>
              </w:rPr>
            </w:pPr>
            <w:r w:rsidRPr="00B9669B">
              <w:rPr>
                <w:u w:val="single"/>
              </w:rPr>
              <w:t>Moving-Average Method.</w:t>
            </w:r>
            <w:r w:rsidRPr="00B9669B">
              <w:t xml:space="preserve">  An inventory valuation method utilizing a mathematical average of unit costs which adjusts the cost of the inventory item by item not by each unit on hand.  </w:t>
            </w:r>
          </w:p>
        </w:tc>
        <w:tc>
          <w:tcPr>
            <w:tcW w:w="1440" w:type="dxa"/>
          </w:tcPr>
          <w:p w14:paraId="34552572" w14:textId="77777777" w:rsidR="004955A0" w:rsidRPr="002D7748" w:rsidRDefault="004955A0" w:rsidP="004955A0">
            <w:pPr>
              <w:spacing w:before="40" w:after="80"/>
            </w:pPr>
            <w:r w:rsidRPr="002D7748">
              <w:t>Section _.6</w:t>
            </w:r>
          </w:p>
        </w:tc>
      </w:tr>
      <w:tr w:rsidR="004955A0" w:rsidRPr="00B9669B" w14:paraId="0D75A423" w14:textId="77777777" w:rsidTr="004955A0">
        <w:trPr>
          <w:cantSplit/>
        </w:trPr>
        <w:tc>
          <w:tcPr>
            <w:tcW w:w="8478" w:type="dxa"/>
          </w:tcPr>
          <w:p w14:paraId="748FEFCD" w14:textId="32E973D8" w:rsidR="004955A0" w:rsidRPr="00B9669B" w:rsidRDefault="004955A0" w:rsidP="004955A0">
            <w:r w:rsidRPr="00B9669B">
              <w:rPr>
                <w:szCs w:val="24"/>
                <w:u w:val="single"/>
              </w:rPr>
              <w:t>Net Book Value</w:t>
            </w:r>
            <w:r w:rsidRPr="00B9669B">
              <w:rPr>
                <w:szCs w:val="24"/>
              </w:rPr>
              <w:t>.  The value at the acquisition date less accumulated depreciation</w:t>
            </w:r>
            <w:r w:rsidR="007E1BF8">
              <w:rPr>
                <w:szCs w:val="24"/>
              </w:rPr>
              <w:t xml:space="preserve"> or Book Value (see definition provided in this glossary) less accumulated depreciation.</w:t>
            </w:r>
          </w:p>
        </w:tc>
        <w:tc>
          <w:tcPr>
            <w:tcW w:w="1440" w:type="dxa"/>
          </w:tcPr>
          <w:p w14:paraId="50EF7558" w14:textId="77777777" w:rsidR="004955A0" w:rsidRPr="002D7748" w:rsidRDefault="004955A0" w:rsidP="004955A0">
            <w:pPr>
              <w:spacing w:after="80"/>
            </w:pPr>
            <w:r w:rsidRPr="002D7748">
              <w:t>Section _.8</w:t>
            </w:r>
          </w:p>
        </w:tc>
      </w:tr>
      <w:tr w:rsidR="004955A0" w:rsidRPr="00B9669B" w14:paraId="65498E40" w14:textId="77777777" w:rsidTr="004955A0">
        <w:trPr>
          <w:cantSplit/>
        </w:trPr>
        <w:tc>
          <w:tcPr>
            <w:tcW w:w="8478" w:type="dxa"/>
          </w:tcPr>
          <w:p w14:paraId="75268D28" w14:textId="77777777" w:rsidR="004955A0" w:rsidRPr="00B9669B" w:rsidRDefault="004955A0" w:rsidP="00495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u w:val="single"/>
              </w:rPr>
              <w:t>Net Lease Payment Per Period</w:t>
            </w:r>
            <w:r w:rsidRPr="00B9669B">
              <w:t xml:space="preserve">.  The net lease payment per period is the annual net minimum lease payment amount divided by the number of payments required to be made per year.  </w:t>
            </w:r>
          </w:p>
        </w:tc>
        <w:tc>
          <w:tcPr>
            <w:tcW w:w="1440" w:type="dxa"/>
          </w:tcPr>
          <w:p w14:paraId="63022B72" w14:textId="77777777" w:rsidR="004955A0" w:rsidRPr="002D7748" w:rsidRDefault="004955A0" w:rsidP="004955A0">
            <w:pPr>
              <w:spacing w:after="80"/>
            </w:pPr>
            <w:r w:rsidRPr="002D7748">
              <w:t>Section _.9</w:t>
            </w:r>
          </w:p>
        </w:tc>
      </w:tr>
      <w:tr w:rsidR="004955A0" w:rsidRPr="00B9669B" w14:paraId="1352CADF" w14:textId="77777777" w:rsidTr="004955A0">
        <w:trPr>
          <w:cantSplit/>
        </w:trPr>
        <w:tc>
          <w:tcPr>
            <w:tcW w:w="8478" w:type="dxa"/>
          </w:tcPr>
          <w:p w14:paraId="51E32549" w14:textId="77777777" w:rsidR="004955A0" w:rsidRPr="00B9669B" w:rsidRDefault="004955A0" w:rsidP="004955A0">
            <w:r w:rsidRPr="00B9669B">
              <w:rPr>
                <w:u w:val="single"/>
              </w:rPr>
              <w:t>Net Minimum Lease Payment</w:t>
            </w:r>
            <w:r w:rsidRPr="00B9669B">
              <w:t>.  The minimum lease payment</w:t>
            </w:r>
            <w:r w:rsidRPr="00B9669B">
              <w:rPr>
                <w:b/>
              </w:rPr>
              <w:t xml:space="preserve"> net of any executory costs. </w:t>
            </w:r>
            <w:r w:rsidRPr="00B9669B">
              <w:t xml:space="preserve"> The net minimum lease payment is used only for the present value calculation for determining whether a lease is capital or operating.  </w:t>
            </w:r>
          </w:p>
        </w:tc>
        <w:tc>
          <w:tcPr>
            <w:tcW w:w="1440" w:type="dxa"/>
          </w:tcPr>
          <w:p w14:paraId="121A3AEA" w14:textId="77777777" w:rsidR="004955A0" w:rsidRPr="002D7748" w:rsidRDefault="004955A0" w:rsidP="004955A0">
            <w:pPr>
              <w:spacing w:after="80"/>
            </w:pPr>
            <w:r w:rsidRPr="002D7748">
              <w:t>Section _.9</w:t>
            </w:r>
          </w:p>
        </w:tc>
      </w:tr>
      <w:tr w:rsidR="004955A0" w:rsidRPr="00B9669B" w14:paraId="4EF925BF" w14:textId="77777777" w:rsidTr="004955A0">
        <w:trPr>
          <w:cantSplit/>
        </w:trPr>
        <w:tc>
          <w:tcPr>
            <w:tcW w:w="8478" w:type="dxa"/>
          </w:tcPr>
          <w:p w14:paraId="6A3D98C3" w14:textId="77777777" w:rsidR="004955A0" w:rsidRDefault="004955A0" w:rsidP="004955A0">
            <w:pPr>
              <w:spacing w:after="0"/>
            </w:pPr>
            <w:r w:rsidRPr="00B9669B">
              <w:rPr>
                <w:u w:val="single"/>
              </w:rPr>
              <w:lastRenderedPageBreak/>
              <w:t>Noncancelable Lease</w:t>
            </w:r>
            <w:r w:rsidRPr="00B9669B">
              <w:t>.  A lease that is not a cancelable lease.  This includes leases with restricted cancellation clauses such as the following:</w:t>
            </w:r>
          </w:p>
          <w:p w14:paraId="581A632E" w14:textId="77777777" w:rsidR="004955A0" w:rsidRPr="00F54DE6" w:rsidRDefault="004955A0" w:rsidP="004955A0">
            <w:pPr>
              <w:pStyle w:val="ListParagraph"/>
              <w:numPr>
                <w:ilvl w:val="0"/>
                <w:numId w:val="38"/>
              </w:numPr>
              <w:spacing w:before="20" w:after="0"/>
            </w:pPr>
            <w:r w:rsidRPr="00F54DE6">
              <w:t>Only upon the occurrence of some remote contingency.</w:t>
            </w:r>
          </w:p>
          <w:p w14:paraId="075BBC99" w14:textId="77777777" w:rsidR="004955A0" w:rsidRPr="00F54DE6" w:rsidRDefault="004955A0" w:rsidP="004955A0">
            <w:pPr>
              <w:pStyle w:val="ListParagraph"/>
              <w:numPr>
                <w:ilvl w:val="0"/>
                <w:numId w:val="38"/>
              </w:numPr>
              <w:spacing w:before="20" w:after="0"/>
            </w:pPr>
            <w:r w:rsidRPr="00F54DE6">
              <w:t>Only if the General Assembly fails to appropriate adequate funds (this is often called a "fiscal funding clause").</w:t>
            </w:r>
          </w:p>
          <w:p w14:paraId="655EE7BC" w14:textId="77777777" w:rsidR="004955A0" w:rsidRPr="00F54DE6" w:rsidRDefault="004955A0" w:rsidP="004955A0">
            <w:pPr>
              <w:pStyle w:val="ListParagraph"/>
              <w:numPr>
                <w:ilvl w:val="0"/>
                <w:numId w:val="38"/>
              </w:numPr>
              <w:spacing w:before="20" w:after="0"/>
            </w:pPr>
            <w:r w:rsidRPr="00F54DE6">
              <w:t>Only with the permission of the lessor.</w:t>
            </w:r>
          </w:p>
          <w:p w14:paraId="04ED134F" w14:textId="77777777" w:rsidR="004955A0" w:rsidRPr="00F54DE6" w:rsidRDefault="004955A0" w:rsidP="004955A0">
            <w:pPr>
              <w:pStyle w:val="ListParagraph"/>
              <w:numPr>
                <w:ilvl w:val="0"/>
                <w:numId w:val="38"/>
              </w:numPr>
              <w:spacing w:before="20" w:after="0"/>
            </w:pPr>
            <w:r w:rsidRPr="00F54DE6">
              <w:t xml:space="preserve">Only if the lessee </w:t>
            </w:r>
            <w:proofErr w:type="gramStart"/>
            <w:r w:rsidRPr="00F54DE6">
              <w:t>enters into</w:t>
            </w:r>
            <w:proofErr w:type="gramEnd"/>
            <w:r w:rsidRPr="00F54DE6">
              <w:t xml:space="preserve"> a new lease with the same lessor.</w:t>
            </w:r>
          </w:p>
          <w:p w14:paraId="160A626B" w14:textId="77777777" w:rsidR="004955A0" w:rsidRPr="00B9669B" w:rsidRDefault="004955A0" w:rsidP="004955A0">
            <w:r w:rsidRPr="00F54DE6">
              <w:t>Only upon payment by the lessee of a penalty in an amount such that continuation of the lease appears reasonably assured.</w:t>
            </w:r>
          </w:p>
        </w:tc>
        <w:tc>
          <w:tcPr>
            <w:tcW w:w="1440" w:type="dxa"/>
          </w:tcPr>
          <w:p w14:paraId="276E5680" w14:textId="77777777" w:rsidR="004955A0" w:rsidRPr="002D7748" w:rsidRDefault="004955A0" w:rsidP="004955A0">
            <w:pPr>
              <w:spacing w:after="80"/>
            </w:pPr>
            <w:r w:rsidRPr="002D7748">
              <w:t>Section _.9</w:t>
            </w:r>
          </w:p>
        </w:tc>
      </w:tr>
      <w:tr w:rsidR="004955A0" w:rsidRPr="00B9669B" w14:paraId="13084B19" w14:textId="77777777" w:rsidTr="004955A0">
        <w:trPr>
          <w:cantSplit/>
        </w:trPr>
        <w:tc>
          <w:tcPr>
            <w:tcW w:w="8478" w:type="dxa"/>
          </w:tcPr>
          <w:p w14:paraId="2D99F46D" w14:textId="374E24EF" w:rsidR="009E5524" w:rsidRPr="009E5524" w:rsidRDefault="004955A0" w:rsidP="009E5524">
            <w:pPr>
              <w:spacing w:before="20" w:after="0"/>
              <w:rPr>
                <w:szCs w:val="24"/>
              </w:rPr>
            </w:pPr>
            <w:r w:rsidRPr="007E1BF8">
              <w:rPr>
                <w:szCs w:val="24"/>
                <w:u w:val="single"/>
              </w:rPr>
              <w:t>Non-Capitalized Collections of Works of Art and Historical Treasures.</w:t>
            </w:r>
            <w:r w:rsidRPr="007E1BF8">
              <w:rPr>
                <w:szCs w:val="24"/>
              </w:rPr>
              <w:t xml:space="preserve">  </w:t>
            </w:r>
            <w:r w:rsidR="009E5524">
              <w:rPr>
                <w:szCs w:val="24"/>
              </w:rPr>
              <w:t>A c</w:t>
            </w:r>
            <w:r w:rsidRPr="007E1BF8">
              <w:rPr>
                <w:szCs w:val="24"/>
              </w:rPr>
              <w:t>ollection</w:t>
            </w:r>
            <w:r w:rsidR="009E5524">
              <w:rPr>
                <w:szCs w:val="24"/>
              </w:rPr>
              <w:t xml:space="preserve"> that has not been</w:t>
            </w:r>
            <w:r w:rsidRPr="007E1BF8">
              <w:rPr>
                <w:szCs w:val="24"/>
              </w:rPr>
              <w:t xml:space="preserve"> </w:t>
            </w:r>
            <w:r w:rsidR="009E5524" w:rsidRPr="009E5524">
              <w:rPr>
                <w:szCs w:val="24"/>
              </w:rPr>
              <w:t xml:space="preserve">capitalized as of June 30, </w:t>
            </w:r>
            <w:proofErr w:type="gramStart"/>
            <w:r w:rsidR="009E5524" w:rsidRPr="009E5524">
              <w:rPr>
                <w:szCs w:val="24"/>
              </w:rPr>
              <w:t>1999</w:t>
            </w:r>
            <w:proofErr w:type="gramEnd"/>
            <w:r w:rsidR="009E5524">
              <w:rPr>
                <w:szCs w:val="24"/>
              </w:rPr>
              <w:t xml:space="preserve"> is</w:t>
            </w:r>
            <w:r w:rsidR="009E5524" w:rsidRPr="009E5524">
              <w:rPr>
                <w:szCs w:val="24"/>
              </w:rPr>
              <w:t xml:space="preserve"> not required to be capitalized if </w:t>
            </w:r>
            <w:r w:rsidR="009E5524">
              <w:rPr>
                <w:szCs w:val="24"/>
              </w:rPr>
              <w:t>it</w:t>
            </w:r>
            <w:r w:rsidR="009E5524" w:rsidRPr="009E5524">
              <w:rPr>
                <w:szCs w:val="24"/>
              </w:rPr>
              <w:t xml:space="preserve"> meet</w:t>
            </w:r>
            <w:r w:rsidR="009E5524">
              <w:rPr>
                <w:szCs w:val="24"/>
              </w:rPr>
              <w:t>s</w:t>
            </w:r>
            <w:r w:rsidR="009E5524" w:rsidRPr="009E5524">
              <w:rPr>
                <w:szCs w:val="24"/>
              </w:rPr>
              <w:t xml:space="preserve"> all three of the following conditions:</w:t>
            </w:r>
          </w:p>
          <w:p w14:paraId="0642D5FD" w14:textId="69EE84A7" w:rsidR="009E5524" w:rsidRPr="009E5524" w:rsidRDefault="009E5524" w:rsidP="00C45492">
            <w:pPr>
              <w:pStyle w:val="ListParagraph"/>
              <w:numPr>
                <w:ilvl w:val="0"/>
                <w:numId w:val="55"/>
              </w:numPr>
              <w:spacing w:before="20" w:after="0"/>
              <w:rPr>
                <w:szCs w:val="24"/>
              </w:rPr>
            </w:pPr>
            <w:r w:rsidRPr="009E5524">
              <w:rPr>
                <w:szCs w:val="24"/>
              </w:rPr>
              <w:t>The collection is held for public exhibition, education, or research in furtherance of public service, rather than for financial gain.</w:t>
            </w:r>
          </w:p>
          <w:p w14:paraId="4D17FCF6" w14:textId="08CC8DDE" w:rsidR="009E5524" w:rsidRPr="009E5524" w:rsidRDefault="009E5524" w:rsidP="00C45492">
            <w:pPr>
              <w:pStyle w:val="ListParagraph"/>
              <w:numPr>
                <w:ilvl w:val="0"/>
                <w:numId w:val="55"/>
              </w:numPr>
              <w:spacing w:before="20" w:after="0"/>
              <w:rPr>
                <w:szCs w:val="24"/>
              </w:rPr>
            </w:pPr>
            <w:r w:rsidRPr="009E5524">
              <w:rPr>
                <w:szCs w:val="24"/>
              </w:rPr>
              <w:t xml:space="preserve">The collection is protected, kept unencumbered, cared for, and preserved. </w:t>
            </w:r>
          </w:p>
          <w:p w14:paraId="4729E189" w14:textId="53611872" w:rsidR="004955A0" w:rsidRPr="00F54DE6" w:rsidRDefault="009E5524" w:rsidP="00C45492">
            <w:pPr>
              <w:pStyle w:val="ListParagraph"/>
              <w:numPr>
                <w:ilvl w:val="0"/>
                <w:numId w:val="55"/>
              </w:numPr>
              <w:spacing w:before="20" w:after="0"/>
            </w:pPr>
            <w:r w:rsidRPr="009E5524">
              <w:rPr>
                <w:szCs w:val="24"/>
              </w:rPr>
              <w:t>The collection is subject to an organizational policy that requires the proceeds from sales of collection items to be used to acquire other items for collections.</w:t>
            </w:r>
          </w:p>
        </w:tc>
        <w:tc>
          <w:tcPr>
            <w:tcW w:w="1440" w:type="dxa"/>
          </w:tcPr>
          <w:p w14:paraId="2CBE13BF" w14:textId="77777777" w:rsidR="004955A0" w:rsidRPr="002D7748" w:rsidRDefault="004955A0" w:rsidP="004955A0">
            <w:pPr>
              <w:spacing w:after="80"/>
            </w:pPr>
            <w:r w:rsidRPr="002D7748">
              <w:t>Section _.8</w:t>
            </w:r>
          </w:p>
        </w:tc>
      </w:tr>
      <w:tr w:rsidR="00726496" w:rsidRPr="00B9669B" w14:paraId="1C3D77A2" w14:textId="77777777" w:rsidTr="004955A0">
        <w:trPr>
          <w:cantSplit/>
        </w:trPr>
        <w:tc>
          <w:tcPr>
            <w:tcW w:w="8478" w:type="dxa"/>
          </w:tcPr>
          <w:p w14:paraId="0A28C4F4" w14:textId="4FF602AC" w:rsidR="00726496" w:rsidRPr="00B9669B" w:rsidRDefault="00726496" w:rsidP="00726496">
            <w:pPr>
              <w:rPr>
                <w:szCs w:val="24"/>
                <w:u w:val="single"/>
              </w:rPr>
            </w:pPr>
            <w:r w:rsidRPr="00B9669B">
              <w:rPr>
                <w:u w:val="single"/>
              </w:rPr>
              <w:t>Non</w:t>
            </w:r>
            <w:r>
              <w:rPr>
                <w:u w:val="single"/>
              </w:rPr>
              <w:t>-C</w:t>
            </w:r>
            <w:r w:rsidRPr="00B9669B">
              <w:rPr>
                <w:u w:val="single"/>
              </w:rPr>
              <w:t>urrent.</w:t>
            </w:r>
            <w:r w:rsidRPr="00B9669B">
              <w:t xml:space="preserve">  A reporting classification for assets and liabilities identifying assets </w:t>
            </w:r>
            <w:r w:rsidRPr="00B9669B">
              <w:rPr>
                <w:b/>
              </w:rPr>
              <w:t>not</w:t>
            </w:r>
            <w:r w:rsidRPr="00B9669B">
              <w:t xml:space="preserve"> expected to be liquidated within one fiscal year (after the next June 30) and liabilities </w:t>
            </w:r>
            <w:r w:rsidRPr="00B9669B">
              <w:rPr>
                <w:b/>
              </w:rPr>
              <w:t>not</w:t>
            </w:r>
            <w:r w:rsidRPr="00B9669B">
              <w:t xml:space="preserve"> expected to be paid within one fiscal year.  Synonym for long-term.</w:t>
            </w:r>
          </w:p>
        </w:tc>
        <w:tc>
          <w:tcPr>
            <w:tcW w:w="1440" w:type="dxa"/>
          </w:tcPr>
          <w:p w14:paraId="2BD1627E" w14:textId="77777777" w:rsidR="00726496" w:rsidRDefault="00726496" w:rsidP="00726496">
            <w:pPr>
              <w:spacing w:after="80"/>
            </w:pPr>
            <w:r w:rsidRPr="002D7748">
              <w:t>General</w:t>
            </w:r>
          </w:p>
          <w:p w14:paraId="1ABC45BB" w14:textId="77777777" w:rsidR="00726496" w:rsidRDefault="00726496" w:rsidP="00726496">
            <w:pPr>
              <w:spacing w:before="40" w:after="80"/>
            </w:pPr>
            <w:r w:rsidRPr="002D7748">
              <w:t>Section _.3</w:t>
            </w:r>
          </w:p>
          <w:p w14:paraId="43CBD520" w14:textId="77777777" w:rsidR="00726496" w:rsidRDefault="00726496" w:rsidP="00726496">
            <w:pPr>
              <w:spacing w:before="40" w:after="80"/>
            </w:pPr>
            <w:r w:rsidRPr="002D7748">
              <w:t>Section _.5</w:t>
            </w:r>
          </w:p>
          <w:p w14:paraId="7DBBFD52" w14:textId="77777777" w:rsidR="00726496" w:rsidRDefault="00726496" w:rsidP="00726496">
            <w:pPr>
              <w:spacing w:before="40" w:after="80"/>
            </w:pPr>
            <w:r w:rsidRPr="002D7748">
              <w:t>Section _.7</w:t>
            </w:r>
          </w:p>
          <w:p w14:paraId="2FF224AE" w14:textId="77777777" w:rsidR="00726496" w:rsidRDefault="00726496" w:rsidP="00726496">
            <w:pPr>
              <w:spacing w:after="80"/>
            </w:pPr>
            <w:r w:rsidRPr="002D7748">
              <w:t>Section _.10</w:t>
            </w:r>
          </w:p>
          <w:p w14:paraId="591881EE" w14:textId="777604A5" w:rsidR="00726496" w:rsidRPr="002D7748" w:rsidRDefault="00726496" w:rsidP="00726496">
            <w:pPr>
              <w:spacing w:after="80"/>
            </w:pPr>
            <w:r w:rsidRPr="002D7748">
              <w:t>Section _.1</w:t>
            </w:r>
            <w:r>
              <w:t>4</w:t>
            </w:r>
          </w:p>
        </w:tc>
      </w:tr>
      <w:tr w:rsidR="00726496" w:rsidRPr="002D7748" w14:paraId="6CAB692F" w14:textId="77777777" w:rsidTr="00726496">
        <w:tc>
          <w:tcPr>
            <w:tcW w:w="8478" w:type="dxa"/>
          </w:tcPr>
          <w:p w14:paraId="14F1F3A6" w14:textId="77777777" w:rsidR="00726496" w:rsidRPr="00B9669B" w:rsidRDefault="00726496" w:rsidP="003F117C">
            <w:pPr>
              <w:rPr>
                <w:szCs w:val="24"/>
              </w:rPr>
            </w:pPr>
            <w:r w:rsidRPr="00B9669B">
              <w:rPr>
                <w:u w:val="single"/>
              </w:rPr>
              <w:t>Non</w:t>
            </w:r>
            <w:r>
              <w:rPr>
                <w:u w:val="single"/>
              </w:rPr>
              <w:t>-C</w:t>
            </w:r>
            <w:r w:rsidRPr="00B9669B">
              <w:rPr>
                <w:u w:val="single"/>
              </w:rPr>
              <w:t>urrent Liability</w:t>
            </w:r>
            <w:r>
              <w:rPr>
                <w:u w:val="single"/>
              </w:rPr>
              <w:t>.</w:t>
            </w:r>
            <w:r w:rsidRPr="00B9669B">
              <w:t xml:space="preserve">  That portion of a liability that is not expected to be paid within the next twelve months or prior to the </w:t>
            </w:r>
            <w:r w:rsidRPr="00B9669B">
              <w:rPr>
                <w:i/>
                <w:iCs/>
              </w:rPr>
              <w:t>next</w:t>
            </w:r>
            <w:r w:rsidRPr="00B9669B">
              <w:t xml:space="preserve"> June 30.  </w:t>
            </w:r>
          </w:p>
        </w:tc>
        <w:tc>
          <w:tcPr>
            <w:tcW w:w="1440" w:type="dxa"/>
          </w:tcPr>
          <w:p w14:paraId="211CE5DF" w14:textId="77777777" w:rsidR="00726496" w:rsidRPr="002D7748" w:rsidRDefault="00726496" w:rsidP="003F117C">
            <w:pPr>
              <w:spacing w:before="40" w:after="80"/>
            </w:pPr>
            <w:r w:rsidRPr="002D7748">
              <w:t>Section _.12</w:t>
            </w:r>
          </w:p>
        </w:tc>
      </w:tr>
      <w:tr w:rsidR="00726496" w:rsidRPr="00B9669B" w14:paraId="4FF4F5FE" w14:textId="77777777" w:rsidTr="004955A0">
        <w:trPr>
          <w:cantSplit/>
        </w:trPr>
        <w:tc>
          <w:tcPr>
            <w:tcW w:w="8478" w:type="dxa"/>
          </w:tcPr>
          <w:p w14:paraId="4035C736" w14:textId="77777777" w:rsidR="00726496" w:rsidRPr="00B9669B" w:rsidRDefault="00726496" w:rsidP="00726496">
            <w:pPr>
              <w:rPr>
                <w:szCs w:val="24"/>
              </w:rPr>
            </w:pPr>
            <w:r w:rsidRPr="00B9669B">
              <w:rPr>
                <w:szCs w:val="24"/>
                <w:u w:val="single"/>
              </w:rPr>
              <w:t>Non</w:t>
            </w:r>
            <w:r>
              <w:rPr>
                <w:szCs w:val="24"/>
                <w:u w:val="single"/>
              </w:rPr>
              <w:t>-C</w:t>
            </w:r>
            <w:r w:rsidRPr="00B9669B">
              <w:rPr>
                <w:szCs w:val="24"/>
                <w:u w:val="single"/>
              </w:rPr>
              <w:t>urrent Receivable.</w:t>
            </w:r>
            <w:r w:rsidRPr="00B9669B">
              <w:rPr>
                <w:szCs w:val="24"/>
              </w:rPr>
              <w:t xml:space="preserve">  The portion of Net Receivable</w:t>
            </w:r>
            <w:r>
              <w:rPr>
                <w:szCs w:val="24"/>
              </w:rPr>
              <w:t xml:space="preserve"> (</w:t>
            </w:r>
            <w:r w:rsidRPr="00B9669B">
              <w:rPr>
                <w:szCs w:val="24"/>
              </w:rPr>
              <w:t>Accounts</w:t>
            </w:r>
            <w:r>
              <w:rPr>
                <w:szCs w:val="24"/>
              </w:rPr>
              <w:t>, Taxes, Grants, Contributions, or Other)</w:t>
            </w:r>
            <w:r w:rsidRPr="00B9669B">
              <w:rPr>
                <w:szCs w:val="24"/>
              </w:rPr>
              <w:t xml:space="preserve"> </w:t>
            </w:r>
            <w:proofErr w:type="gramStart"/>
            <w:r w:rsidRPr="00B9669B">
              <w:rPr>
                <w:szCs w:val="24"/>
              </w:rPr>
              <w:t>at</w:t>
            </w:r>
            <w:proofErr w:type="gramEnd"/>
            <w:r w:rsidRPr="00B9669B">
              <w:rPr>
                <w:szCs w:val="24"/>
              </w:rPr>
              <w:t xml:space="preserve"> June 30 that are expected to be collected beyond one year (</w:t>
            </w:r>
            <w:r w:rsidRPr="00B9669B">
              <w:rPr>
                <w:i/>
                <w:iCs/>
                <w:szCs w:val="24"/>
              </w:rPr>
              <w:t>after</w:t>
            </w:r>
            <w:r w:rsidRPr="00B9669B">
              <w:rPr>
                <w:szCs w:val="24"/>
              </w:rPr>
              <w:t xml:space="preserve"> June 30 of the </w:t>
            </w:r>
            <w:r w:rsidRPr="00B9669B">
              <w:rPr>
                <w:i/>
                <w:iCs/>
                <w:szCs w:val="24"/>
              </w:rPr>
              <w:t>next</w:t>
            </w:r>
            <w:r w:rsidRPr="00B9669B">
              <w:rPr>
                <w:szCs w:val="24"/>
              </w:rPr>
              <w:t xml:space="preserve"> fiscal year).</w:t>
            </w:r>
          </w:p>
        </w:tc>
        <w:tc>
          <w:tcPr>
            <w:tcW w:w="1440" w:type="dxa"/>
          </w:tcPr>
          <w:p w14:paraId="6A28473E" w14:textId="77777777" w:rsidR="00726496" w:rsidRDefault="00726496" w:rsidP="00726496">
            <w:pPr>
              <w:spacing w:after="80"/>
            </w:pPr>
            <w:r w:rsidRPr="002D7748">
              <w:t>Section _.2</w:t>
            </w:r>
          </w:p>
          <w:p w14:paraId="2642138E" w14:textId="77777777" w:rsidR="00726496" w:rsidRPr="002D7748" w:rsidRDefault="00726496" w:rsidP="00726496">
            <w:pPr>
              <w:spacing w:after="80"/>
            </w:pPr>
            <w:r w:rsidRPr="002D7748">
              <w:t>Section _.4</w:t>
            </w:r>
          </w:p>
        </w:tc>
      </w:tr>
      <w:tr w:rsidR="00726496" w:rsidRPr="00B9669B" w14:paraId="07171B13" w14:textId="77777777" w:rsidTr="004955A0">
        <w:trPr>
          <w:cantSplit/>
        </w:trPr>
        <w:tc>
          <w:tcPr>
            <w:tcW w:w="8478" w:type="dxa"/>
          </w:tcPr>
          <w:p w14:paraId="1F8206F5" w14:textId="77777777" w:rsidR="00726496" w:rsidRPr="00B9669B" w:rsidRDefault="00726496" w:rsidP="00726496">
            <w:pPr>
              <w:spacing w:before="100" w:after="100"/>
              <w:rPr>
                <w:u w:val="single"/>
              </w:rPr>
            </w:pPr>
            <w:r w:rsidRPr="00B9669B">
              <w:rPr>
                <w:szCs w:val="24"/>
                <w:u w:val="single"/>
              </w:rPr>
              <w:t>Non-Depreciable Capital Assets</w:t>
            </w:r>
            <w:r w:rsidRPr="00B9669B">
              <w:rPr>
                <w:szCs w:val="24"/>
              </w:rPr>
              <w:t xml:space="preserve">.  Assets for which depreciation is not recognized because the useful life </w:t>
            </w:r>
            <w:proofErr w:type="gramStart"/>
            <w:r w:rsidRPr="00B9669B">
              <w:rPr>
                <w:szCs w:val="24"/>
              </w:rPr>
              <w:t>is considered to be</w:t>
            </w:r>
            <w:proofErr w:type="gramEnd"/>
            <w:r w:rsidRPr="00B9669B">
              <w:rPr>
                <w:szCs w:val="24"/>
              </w:rPr>
              <w:t xml:space="preserve"> infinite.</w:t>
            </w:r>
          </w:p>
        </w:tc>
        <w:tc>
          <w:tcPr>
            <w:tcW w:w="1440" w:type="dxa"/>
          </w:tcPr>
          <w:p w14:paraId="5A5196E8" w14:textId="77777777" w:rsidR="00726496" w:rsidRPr="002D7748" w:rsidRDefault="00726496" w:rsidP="00726496">
            <w:pPr>
              <w:spacing w:before="40" w:after="80"/>
            </w:pPr>
            <w:r w:rsidRPr="002D7748">
              <w:t>Section _.8</w:t>
            </w:r>
          </w:p>
        </w:tc>
      </w:tr>
      <w:tr w:rsidR="00726496" w:rsidRPr="00B9669B" w14:paraId="7AF99D5D" w14:textId="77777777" w:rsidTr="004955A0">
        <w:trPr>
          <w:cantSplit/>
        </w:trPr>
        <w:tc>
          <w:tcPr>
            <w:tcW w:w="8478" w:type="dxa"/>
          </w:tcPr>
          <w:p w14:paraId="332ABC92" w14:textId="77777777" w:rsidR="00726496"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lastRenderedPageBreak/>
              <w:t>Non-Depreciable Land Improvements</w:t>
            </w:r>
            <w:r w:rsidRPr="00B9669B">
              <w:rPr>
                <w:szCs w:val="24"/>
              </w:rPr>
              <w:t xml:space="preserve">.  Improvements that produce </w:t>
            </w:r>
            <w:r w:rsidRPr="00B9669B">
              <w:rPr>
                <w:i/>
                <w:iCs/>
                <w:szCs w:val="24"/>
              </w:rPr>
              <w:t>permanent</w:t>
            </w:r>
            <w:r w:rsidRPr="00B9669B">
              <w:rPr>
                <w:szCs w:val="24"/>
              </w:rPr>
              <w:t xml:space="preserve"> benefits, primarily related to preparing land for its intended use.  Examples include filling and grading costs.</w:t>
            </w:r>
          </w:p>
          <w:p w14:paraId="1C7664BF" w14:textId="716AA8B7" w:rsidR="00161C07" w:rsidRPr="00B9669B" w:rsidRDefault="00161C07"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If an entity purchases a piece of land and demolishes a structure on the land that was never used by the entity, the cost of demolishing the building is capitalized as a non-depreciable land improvement. </w:t>
            </w:r>
          </w:p>
        </w:tc>
        <w:tc>
          <w:tcPr>
            <w:tcW w:w="1440" w:type="dxa"/>
          </w:tcPr>
          <w:p w14:paraId="0503B9C0" w14:textId="77777777" w:rsidR="00726496" w:rsidRPr="002D7748" w:rsidRDefault="00726496" w:rsidP="00726496">
            <w:pPr>
              <w:spacing w:after="80"/>
            </w:pPr>
            <w:r w:rsidRPr="002D7748">
              <w:t>Section _.8</w:t>
            </w:r>
          </w:p>
        </w:tc>
      </w:tr>
      <w:tr w:rsidR="00726496" w:rsidRPr="00B9669B" w14:paraId="38E954FB" w14:textId="77777777" w:rsidTr="004955A0">
        <w:trPr>
          <w:cantSplit/>
        </w:trPr>
        <w:tc>
          <w:tcPr>
            <w:tcW w:w="8478" w:type="dxa"/>
          </w:tcPr>
          <w:p w14:paraId="5516F5D7" w14:textId="77777777" w:rsidR="00726496" w:rsidRPr="00B9669B"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spellStart"/>
            <w:r w:rsidRPr="00B9669B">
              <w:rPr>
                <w:szCs w:val="24"/>
                <w:u w:val="single"/>
              </w:rPr>
              <w:t>Nonrecognized</w:t>
            </w:r>
            <w:proofErr w:type="spellEnd"/>
            <w:r w:rsidRPr="00B9669B">
              <w:rPr>
                <w:szCs w:val="24"/>
                <w:u w:val="single"/>
              </w:rPr>
              <w:t xml:space="preserve"> events.</w:t>
            </w:r>
            <w:r w:rsidRPr="00B9669B">
              <w:rPr>
                <w:szCs w:val="24"/>
              </w:rPr>
              <w:t xml:space="preserve">  Events occurring after year-end that provide evidence with respect to conditions that did not exist at year-end but arose </w:t>
            </w:r>
            <w:proofErr w:type="gramStart"/>
            <w:r w:rsidRPr="00B9669B">
              <w:rPr>
                <w:szCs w:val="24"/>
              </w:rPr>
              <w:t>subsequent to</w:t>
            </w:r>
            <w:proofErr w:type="gramEnd"/>
            <w:r w:rsidRPr="00B9669B">
              <w:rPr>
                <w:szCs w:val="24"/>
              </w:rPr>
              <w:t xml:space="preserve"> that date.  These events should not result in adjustment of the financial statements.  Some of these events, however, may be of such a nature that their disclosure is essential to a user’s understanding of the financial statements. </w:t>
            </w:r>
          </w:p>
        </w:tc>
        <w:tc>
          <w:tcPr>
            <w:tcW w:w="1440" w:type="dxa"/>
          </w:tcPr>
          <w:p w14:paraId="6CE21916" w14:textId="77777777" w:rsidR="00726496" w:rsidRPr="002D7748" w:rsidRDefault="00726496" w:rsidP="00726496">
            <w:pPr>
              <w:spacing w:after="80"/>
            </w:pPr>
            <w:r w:rsidRPr="002D7748">
              <w:t>General</w:t>
            </w:r>
          </w:p>
        </w:tc>
      </w:tr>
      <w:tr w:rsidR="00726496" w:rsidRPr="00B9669B" w14:paraId="214A2087" w14:textId="77777777" w:rsidTr="004955A0">
        <w:trPr>
          <w:cantSplit/>
        </w:trPr>
        <w:tc>
          <w:tcPr>
            <w:tcW w:w="8478" w:type="dxa"/>
          </w:tcPr>
          <w:p w14:paraId="6A6E01EA" w14:textId="2053D893" w:rsidR="00726496" w:rsidRPr="00B9669B" w:rsidRDefault="00726496" w:rsidP="00726496">
            <w:pPr>
              <w:rPr>
                <w:szCs w:val="24"/>
              </w:rPr>
            </w:pPr>
            <w:r w:rsidRPr="00B9669B">
              <w:rPr>
                <w:u w:val="single"/>
              </w:rPr>
              <w:t>Non</w:t>
            </w:r>
            <w:r w:rsidR="000708B0">
              <w:rPr>
                <w:u w:val="single"/>
              </w:rPr>
              <w:t>s</w:t>
            </w:r>
            <w:r w:rsidRPr="00B9669B">
              <w:rPr>
                <w:u w:val="single"/>
              </w:rPr>
              <w:t>pendable</w:t>
            </w:r>
            <w:r w:rsidRPr="00B9669B">
              <w:t xml:space="preserve">.  </w:t>
            </w:r>
            <w:r w:rsidR="00873379">
              <w:t>Portion of governmental</w:t>
            </w:r>
            <w:r w:rsidRPr="00B9669B">
              <w:t xml:space="preserve"> fund balance </w:t>
            </w:r>
            <w:r w:rsidR="00D77C74">
              <w:t>cannot be spent because it is either not in spendable form or legally or contractually required to be maintained intact.</w:t>
            </w:r>
            <w:r w:rsidRPr="00B9669B">
              <w:t xml:space="preserve">  </w:t>
            </w:r>
          </w:p>
        </w:tc>
        <w:tc>
          <w:tcPr>
            <w:tcW w:w="1440" w:type="dxa"/>
          </w:tcPr>
          <w:p w14:paraId="194C5AF5" w14:textId="77777777" w:rsidR="00726496" w:rsidRPr="002D7748" w:rsidRDefault="00726496" w:rsidP="00726496">
            <w:pPr>
              <w:spacing w:after="80"/>
            </w:pPr>
            <w:r w:rsidRPr="002D7748">
              <w:t>Section _.20</w:t>
            </w:r>
          </w:p>
        </w:tc>
      </w:tr>
      <w:tr w:rsidR="00726496" w:rsidRPr="00B9669B" w14:paraId="5259CCF3" w14:textId="77777777" w:rsidTr="004955A0">
        <w:trPr>
          <w:cantSplit/>
        </w:trPr>
        <w:tc>
          <w:tcPr>
            <w:tcW w:w="8478" w:type="dxa"/>
          </w:tcPr>
          <w:p w14:paraId="33CEA55F" w14:textId="4EF3AFDF" w:rsidR="00726496" w:rsidRPr="00B9669B" w:rsidRDefault="00726496" w:rsidP="00726496">
            <w:r w:rsidRPr="00B9669B">
              <w:rPr>
                <w:szCs w:val="24"/>
                <w:u w:val="single"/>
              </w:rPr>
              <w:t>Note Agreement</w:t>
            </w:r>
            <w:r>
              <w:rPr>
                <w:szCs w:val="24"/>
                <w:u w:val="single"/>
              </w:rPr>
              <w:t xml:space="preserve"> (also known as a Promissory Note)</w:t>
            </w:r>
            <w:r w:rsidRPr="00B9669B">
              <w:rPr>
                <w:szCs w:val="24"/>
                <w:u w:val="single"/>
              </w:rPr>
              <w:t>.</w:t>
            </w:r>
            <w:r w:rsidRPr="00B9669B">
              <w:rPr>
                <w:szCs w:val="24"/>
              </w:rPr>
              <w:t xml:space="preserve">  An agreement between two parties involving the providing of resources by the lender with an agreement from the borrower that repayment will occur in the future.  Typically</w:t>
            </w:r>
            <w:r>
              <w:rPr>
                <w:szCs w:val="24"/>
              </w:rPr>
              <w:t>,</w:t>
            </w:r>
            <w:r w:rsidRPr="00B9669B">
              <w:rPr>
                <w:szCs w:val="24"/>
              </w:rPr>
              <w:t xml:space="preserve"> the agreement specifies the terms of the agreement for periodic repayment, final maturity, interest rate, method of calculating the interest, and</w:t>
            </w:r>
            <w:r>
              <w:rPr>
                <w:szCs w:val="24"/>
              </w:rPr>
              <w:t>, if applicable,</w:t>
            </w:r>
            <w:r w:rsidRPr="00B9669B">
              <w:rPr>
                <w:szCs w:val="24"/>
              </w:rPr>
              <w:t xml:space="preserve"> the collateral </w:t>
            </w:r>
            <w:r>
              <w:rPr>
                <w:szCs w:val="24"/>
              </w:rPr>
              <w:t xml:space="preserve">or security </w:t>
            </w:r>
            <w:r w:rsidRPr="00B9669B">
              <w:rPr>
                <w:szCs w:val="24"/>
              </w:rPr>
              <w:t>required by the lender to execute the agreement.</w:t>
            </w:r>
            <w:r>
              <w:rPr>
                <w:szCs w:val="24"/>
              </w:rPr>
              <w:t xml:space="preserve"> </w:t>
            </w:r>
            <w:r w:rsidRPr="001537F0">
              <w:rPr>
                <w:szCs w:val="24"/>
              </w:rPr>
              <w:t>While loan agreements tend to be more formal and complex than note agreements, loan agreements and note agreements are considered synonymous for financial reporting purposes.</w:t>
            </w:r>
          </w:p>
        </w:tc>
        <w:tc>
          <w:tcPr>
            <w:tcW w:w="1440" w:type="dxa"/>
          </w:tcPr>
          <w:p w14:paraId="19AB0E8C" w14:textId="77777777" w:rsidR="00726496" w:rsidRPr="002D7748" w:rsidRDefault="00726496" w:rsidP="00726496">
            <w:pPr>
              <w:spacing w:after="80"/>
            </w:pPr>
            <w:r w:rsidRPr="002D7748">
              <w:t>Section _.10</w:t>
            </w:r>
          </w:p>
        </w:tc>
      </w:tr>
      <w:tr w:rsidR="00726496" w:rsidRPr="00B9669B" w14:paraId="697B4899" w14:textId="77777777" w:rsidTr="004955A0">
        <w:trPr>
          <w:cantSplit/>
        </w:trPr>
        <w:tc>
          <w:tcPr>
            <w:tcW w:w="8478" w:type="dxa"/>
          </w:tcPr>
          <w:p w14:paraId="5A187A0A" w14:textId="77777777" w:rsidR="00726496" w:rsidRPr="00B9669B"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u w:val="single"/>
              </w:rPr>
            </w:pPr>
            <w:r w:rsidRPr="00B9669B">
              <w:rPr>
                <w:szCs w:val="24"/>
                <w:u w:val="single"/>
              </w:rPr>
              <w:t>Notes Receivable</w:t>
            </w:r>
            <w:r w:rsidRPr="00B9669B">
              <w:rPr>
                <w:szCs w:val="24"/>
              </w:rPr>
              <w:t xml:space="preserve">.  Outstanding principal balances </w:t>
            </w:r>
            <w:proofErr w:type="gramStart"/>
            <w:r w:rsidRPr="00B9669B">
              <w:rPr>
                <w:szCs w:val="24"/>
              </w:rPr>
              <w:t>at</w:t>
            </w:r>
            <w:proofErr w:type="gramEnd"/>
            <w:r w:rsidRPr="00B9669B">
              <w:rPr>
                <w:szCs w:val="24"/>
              </w:rPr>
              <w:t xml:space="preserve"> June 30 on note agreements that the State made to non-State parties. </w:t>
            </w:r>
          </w:p>
        </w:tc>
        <w:tc>
          <w:tcPr>
            <w:tcW w:w="1440" w:type="dxa"/>
          </w:tcPr>
          <w:p w14:paraId="780EC3D2" w14:textId="77777777" w:rsidR="00726496" w:rsidRPr="002D7748"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80"/>
              <w:rPr>
                <w:szCs w:val="24"/>
              </w:rPr>
            </w:pPr>
            <w:r w:rsidRPr="002D7748">
              <w:t>Section _.10</w:t>
            </w:r>
          </w:p>
        </w:tc>
      </w:tr>
      <w:tr w:rsidR="00726496" w:rsidRPr="00B9669B" w14:paraId="6ADB6052" w14:textId="77777777" w:rsidTr="004955A0">
        <w:trPr>
          <w:cantSplit/>
        </w:trPr>
        <w:tc>
          <w:tcPr>
            <w:tcW w:w="8478" w:type="dxa"/>
          </w:tcPr>
          <w:p w14:paraId="7B3AD0D1" w14:textId="77777777" w:rsidR="00726496" w:rsidRPr="00B9669B" w:rsidRDefault="00726496" w:rsidP="00726496">
            <w:r w:rsidRPr="00B9669B">
              <w:rPr>
                <w:szCs w:val="24"/>
                <w:u w:val="single"/>
              </w:rPr>
              <w:t>Operating Purposes.</w:t>
            </w:r>
            <w:r w:rsidRPr="00B9669B">
              <w:rPr>
                <w:szCs w:val="24"/>
              </w:rPr>
              <w:t xml:space="preserve">  Resources to be utilized to pay for programmatic operational costs. </w:t>
            </w:r>
          </w:p>
        </w:tc>
        <w:tc>
          <w:tcPr>
            <w:tcW w:w="1440" w:type="dxa"/>
          </w:tcPr>
          <w:p w14:paraId="1A69E0A2" w14:textId="77777777" w:rsidR="00726496" w:rsidRPr="002D7748" w:rsidRDefault="00726496" w:rsidP="00726496">
            <w:pPr>
              <w:spacing w:after="80"/>
            </w:pPr>
            <w:r w:rsidRPr="002D7748">
              <w:t>Section _.3</w:t>
            </w:r>
          </w:p>
        </w:tc>
      </w:tr>
      <w:tr w:rsidR="00726496" w:rsidRPr="00B9669B" w14:paraId="36226F47" w14:textId="77777777" w:rsidTr="004955A0">
        <w:trPr>
          <w:cantSplit/>
        </w:trPr>
        <w:tc>
          <w:tcPr>
            <w:tcW w:w="8478" w:type="dxa"/>
          </w:tcPr>
          <w:p w14:paraId="7D0B0FD7" w14:textId="77777777" w:rsidR="00726496" w:rsidRPr="00B9669B" w:rsidRDefault="00726496" w:rsidP="00726496">
            <w:pPr>
              <w:spacing w:line="240" w:lineRule="exact"/>
              <w:rPr>
                <w:szCs w:val="24"/>
              </w:rPr>
            </w:pPr>
            <w:r w:rsidRPr="00B9669B">
              <w:rPr>
                <w:u w:val="single"/>
              </w:rPr>
              <w:t>Overtime Compensatory Time</w:t>
            </w:r>
            <w:r w:rsidRPr="00B9669B">
              <w:t>.  An amount of leave time earned by working beyond the established work schedule for the employee’s position.</w:t>
            </w:r>
          </w:p>
        </w:tc>
        <w:tc>
          <w:tcPr>
            <w:tcW w:w="1440" w:type="dxa"/>
          </w:tcPr>
          <w:p w14:paraId="2C6B943B" w14:textId="77777777" w:rsidR="00726496" w:rsidRPr="002D7748" w:rsidRDefault="00726496" w:rsidP="00726496">
            <w:pPr>
              <w:spacing w:after="80"/>
            </w:pPr>
            <w:r w:rsidRPr="002D7748">
              <w:t>Section _.17</w:t>
            </w:r>
          </w:p>
        </w:tc>
      </w:tr>
      <w:tr w:rsidR="00726496" w:rsidRPr="00B9669B" w14:paraId="395125BF" w14:textId="77777777" w:rsidTr="004955A0">
        <w:trPr>
          <w:cantSplit/>
        </w:trPr>
        <w:tc>
          <w:tcPr>
            <w:tcW w:w="8478" w:type="dxa"/>
          </w:tcPr>
          <w:p w14:paraId="6213DA72" w14:textId="77777777" w:rsidR="00726496" w:rsidRPr="00B9669B" w:rsidRDefault="00726496" w:rsidP="00726496">
            <w:r w:rsidRPr="00B9669B">
              <w:rPr>
                <w:szCs w:val="24"/>
                <w:u w:val="single"/>
              </w:rPr>
              <w:t>"Passed Through" Funds</w:t>
            </w:r>
            <w:r w:rsidRPr="00B9669B">
              <w:rPr>
                <w:szCs w:val="24"/>
              </w:rPr>
              <w:t xml:space="preserve">.  Funds received as a grant that are provided to another entity (known as the “pass-through entity”, a </w:t>
            </w:r>
            <w:proofErr w:type="gramStart"/>
            <w:r w:rsidRPr="00B9669B">
              <w:rPr>
                <w:szCs w:val="24"/>
              </w:rPr>
              <w:t>State</w:t>
            </w:r>
            <w:proofErr w:type="gramEnd"/>
            <w:r w:rsidRPr="00B9669B">
              <w:rPr>
                <w:szCs w:val="24"/>
              </w:rPr>
              <w:t xml:space="preserve"> agency or non-State organization) to accomplish the objective of the grant purpose.  (Additional guidance on pass-through entities is available in OMB-A133).</w:t>
            </w:r>
          </w:p>
        </w:tc>
        <w:tc>
          <w:tcPr>
            <w:tcW w:w="1440" w:type="dxa"/>
          </w:tcPr>
          <w:p w14:paraId="2EB03795" w14:textId="77777777" w:rsidR="00726496" w:rsidRPr="002D7748" w:rsidRDefault="00726496" w:rsidP="00726496">
            <w:pPr>
              <w:spacing w:after="80"/>
            </w:pPr>
            <w:r w:rsidRPr="002D7748">
              <w:t>Section _.14</w:t>
            </w:r>
          </w:p>
        </w:tc>
      </w:tr>
      <w:tr w:rsidR="00726496" w:rsidRPr="00B9669B" w14:paraId="335B4FE0" w14:textId="77777777" w:rsidTr="004955A0">
        <w:trPr>
          <w:cantSplit/>
        </w:trPr>
        <w:tc>
          <w:tcPr>
            <w:tcW w:w="8478" w:type="dxa"/>
          </w:tcPr>
          <w:p w14:paraId="7921E953" w14:textId="77777777" w:rsidR="00726496" w:rsidRPr="00B9669B" w:rsidRDefault="00726496" w:rsidP="00726496">
            <w:pPr>
              <w:keepLines/>
              <w:rPr>
                <w:szCs w:val="24"/>
              </w:rPr>
            </w:pPr>
            <w:r w:rsidRPr="00B9669B">
              <w:rPr>
                <w:u w:val="single"/>
              </w:rPr>
              <w:lastRenderedPageBreak/>
              <w:t>Pass-Through Entities</w:t>
            </w:r>
            <w:r w:rsidRPr="00B9669B">
              <w:t xml:space="preserve">.  An entity which receives resources through grants for distribution to others who execute the program in accordance with the grant agreement.  </w:t>
            </w:r>
          </w:p>
        </w:tc>
        <w:tc>
          <w:tcPr>
            <w:tcW w:w="1440" w:type="dxa"/>
          </w:tcPr>
          <w:p w14:paraId="2501064C" w14:textId="77777777" w:rsidR="00726496" w:rsidRPr="002D7748" w:rsidRDefault="00726496" w:rsidP="00726496">
            <w:pPr>
              <w:spacing w:after="80"/>
              <w:rPr>
                <w:szCs w:val="24"/>
              </w:rPr>
            </w:pPr>
            <w:r w:rsidRPr="002D7748">
              <w:t>General</w:t>
            </w:r>
          </w:p>
        </w:tc>
      </w:tr>
      <w:tr w:rsidR="00726496" w:rsidRPr="00B9669B" w14:paraId="78FDE23A" w14:textId="77777777" w:rsidTr="004955A0">
        <w:trPr>
          <w:cantSplit/>
        </w:trPr>
        <w:tc>
          <w:tcPr>
            <w:tcW w:w="8478" w:type="dxa"/>
          </w:tcPr>
          <w:p w14:paraId="51141C0A" w14:textId="77777777" w:rsidR="00726496" w:rsidRPr="00B9669B" w:rsidRDefault="00726496" w:rsidP="00726496">
            <w:r w:rsidRPr="00B9669B">
              <w:rPr>
                <w:szCs w:val="24"/>
                <w:u w:val="single"/>
              </w:rPr>
              <w:t>Pass-Through Grant</w:t>
            </w:r>
            <w:r>
              <w:rPr>
                <w:szCs w:val="24"/>
                <w:u w:val="single"/>
              </w:rPr>
              <w:t xml:space="preserve"> Award</w:t>
            </w:r>
            <w:r w:rsidRPr="00B9669B">
              <w:rPr>
                <w:szCs w:val="24"/>
              </w:rPr>
              <w:t xml:space="preserve">.  Resources received </w:t>
            </w:r>
            <w:r>
              <w:rPr>
                <w:szCs w:val="24"/>
              </w:rPr>
              <w:t xml:space="preserve">under a grant award agreement </w:t>
            </w:r>
            <w:r w:rsidRPr="00B9669B">
              <w:rPr>
                <w:szCs w:val="24"/>
              </w:rPr>
              <w:t xml:space="preserve">from a grantor which are provided to another entity for whom the original recipient of the resources is responsible for administrative or direct financial responsibility.  See OMB A-133 Subpart B Section _.210 for additional guidance on determination of Pass-through compared to vendor relationship.  </w:t>
            </w:r>
          </w:p>
        </w:tc>
        <w:tc>
          <w:tcPr>
            <w:tcW w:w="1440" w:type="dxa"/>
          </w:tcPr>
          <w:p w14:paraId="0B849968" w14:textId="77777777" w:rsidR="00726496" w:rsidRPr="002D7748" w:rsidRDefault="00726496" w:rsidP="00726496">
            <w:pPr>
              <w:spacing w:after="80"/>
            </w:pPr>
            <w:r w:rsidRPr="002D7748">
              <w:t>Section _.3</w:t>
            </w:r>
          </w:p>
        </w:tc>
      </w:tr>
      <w:tr w:rsidR="00726496" w:rsidRPr="00B9669B" w14:paraId="7FFB9D81" w14:textId="77777777" w:rsidTr="004955A0">
        <w:trPr>
          <w:cantSplit/>
        </w:trPr>
        <w:tc>
          <w:tcPr>
            <w:tcW w:w="8478" w:type="dxa"/>
          </w:tcPr>
          <w:p w14:paraId="3EDCB4CB" w14:textId="77777777" w:rsidR="00726496" w:rsidRPr="00B9669B" w:rsidRDefault="00726496" w:rsidP="00726496">
            <w:pPr>
              <w:spacing w:line="240" w:lineRule="exact"/>
              <w:rPr>
                <w:szCs w:val="24"/>
              </w:rPr>
            </w:pPr>
            <w:r w:rsidRPr="00B9669B">
              <w:rPr>
                <w:u w:val="single"/>
              </w:rPr>
              <w:t>Pay rate.</w:t>
            </w:r>
            <w:r w:rsidRPr="00B9669B">
              <w:t xml:space="preserve">  The hourly or daily rate at which an employee’s compensation is based.</w:t>
            </w:r>
          </w:p>
        </w:tc>
        <w:tc>
          <w:tcPr>
            <w:tcW w:w="1440" w:type="dxa"/>
          </w:tcPr>
          <w:p w14:paraId="3410B4FA" w14:textId="77777777" w:rsidR="00726496" w:rsidRPr="002D7748" w:rsidRDefault="00726496" w:rsidP="00726496">
            <w:pPr>
              <w:spacing w:after="80"/>
            </w:pPr>
            <w:r w:rsidRPr="002D7748">
              <w:t>Section _.17</w:t>
            </w:r>
          </w:p>
        </w:tc>
      </w:tr>
      <w:tr w:rsidR="00726496" w:rsidRPr="00B9669B" w14:paraId="536CDC31" w14:textId="77777777" w:rsidTr="004955A0">
        <w:trPr>
          <w:cantSplit/>
        </w:trPr>
        <w:tc>
          <w:tcPr>
            <w:tcW w:w="8478" w:type="dxa"/>
          </w:tcPr>
          <w:p w14:paraId="72D65106" w14:textId="77777777" w:rsidR="00726496" w:rsidRPr="00B9669B" w:rsidRDefault="00726496" w:rsidP="00726496">
            <w:pPr>
              <w:rPr>
                <w:u w:val="single"/>
              </w:rPr>
            </w:pPr>
            <w:r w:rsidRPr="00B9669B">
              <w:rPr>
                <w:szCs w:val="24"/>
                <w:u w:val="single"/>
              </w:rPr>
              <w:t>Period of Benefit.</w:t>
            </w:r>
            <w:r w:rsidRPr="00B9669B">
              <w:rPr>
                <w:szCs w:val="24"/>
              </w:rPr>
              <w:t xml:space="preserve">  The time over which the government realizes benefit from a particular transaction.  This may be indicated by an effective date and an expiration date.  </w:t>
            </w:r>
          </w:p>
        </w:tc>
        <w:tc>
          <w:tcPr>
            <w:tcW w:w="1440" w:type="dxa"/>
          </w:tcPr>
          <w:p w14:paraId="22EF5A6D" w14:textId="77777777" w:rsidR="00726496" w:rsidRPr="002D7748" w:rsidRDefault="00726496" w:rsidP="00726496">
            <w:pPr>
              <w:spacing w:after="80"/>
            </w:pPr>
            <w:r w:rsidRPr="002D7748">
              <w:t>Section _.7</w:t>
            </w:r>
          </w:p>
        </w:tc>
      </w:tr>
      <w:tr w:rsidR="00726496" w:rsidRPr="00B9669B" w14:paraId="2FDF3498" w14:textId="77777777" w:rsidTr="004955A0">
        <w:trPr>
          <w:cantSplit/>
        </w:trPr>
        <w:tc>
          <w:tcPr>
            <w:tcW w:w="8478" w:type="dxa"/>
          </w:tcPr>
          <w:p w14:paraId="1248206A" w14:textId="77777777" w:rsidR="00726496" w:rsidRPr="00B9669B"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rPr>
            </w:pPr>
            <w:r w:rsidRPr="00B9669B">
              <w:rPr>
                <w:u w:val="single"/>
              </w:rPr>
              <w:t>Periodic Inventory System</w:t>
            </w:r>
            <w:r w:rsidRPr="00B9669B">
              <w:t xml:space="preserve">.  An inventory system which does not modify the quantity on hand for each item in real-time.  Periodic adjustments are made to the quantity on hand.  </w:t>
            </w:r>
          </w:p>
        </w:tc>
        <w:tc>
          <w:tcPr>
            <w:tcW w:w="1440" w:type="dxa"/>
          </w:tcPr>
          <w:p w14:paraId="74104976" w14:textId="77777777" w:rsidR="00726496" w:rsidRPr="002D7748" w:rsidRDefault="00726496" w:rsidP="00726496">
            <w:pPr>
              <w:spacing w:after="80"/>
            </w:pPr>
            <w:r w:rsidRPr="002D7748">
              <w:t>Section _.6</w:t>
            </w:r>
          </w:p>
        </w:tc>
      </w:tr>
      <w:tr w:rsidR="00726496" w:rsidRPr="00B9669B" w14:paraId="5CB05527" w14:textId="77777777" w:rsidTr="004955A0">
        <w:trPr>
          <w:cantSplit/>
        </w:trPr>
        <w:tc>
          <w:tcPr>
            <w:tcW w:w="8478" w:type="dxa"/>
          </w:tcPr>
          <w:p w14:paraId="20F18775" w14:textId="77777777" w:rsidR="00726496" w:rsidRPr="00B9669B" w:rsidRDefault="00726496" w:rsidP="00726496">
            <w:r w:rsidRPr="00B9669B">
              <w:rPr>
                <w:u w:val="single"/>
              </w:rPr>
              <w:t>Perpetual Inventory System</w:t>
            </w:r>
            <w:r w:rsidRPr="00B9669B">
              <w:t xml:space="preserve">.  An inventory system which utilizes real-time processing to provide more accurate and timely control of inventory items.  The quantity on hand adjusts when items are issued or received with modifications to the cost per unit at each acquisition.  </w:t>
            </w:r>
          </w:p>
        </w:tc>
        <w:tc>
          <w:tcPr>
            <w:tcW w:w="1440" w:type="dxa"/>
          </w:tcPr>
          <w:p w14:paraId="6CE65DFB" w14:textId="77777777" w:rsidR="00726496" w:rsidRPr="002D7748" w:rsidRDefault="00726496" w:rsidP="00726496">
            <w:pPr>
              <w:spacing w:after="80"/>
            </w:pPr>
            <w:r w:rsidRPr="002D7748">
              <w:t>Section _.6</w:t>
            </w:r>
          </w:p>
        </w:tc>
      </w:tr>
      <w:tr w:rsidR="00726496" w:rsidRPr="00B9669B" w14:paraId="74EBEEC9" w14:textId="77777777" w:rsidTr="004955A0">
        <w:trPr>
          <w:cantSplit/>
        </w:trPr>
        <w:tc>
          <w:tcPr>
            <w:tcW w:w="8478" w:type="dxa"/>
          </w:tcPr>
          <w:p w14:paraId="73BF9374" w14:textId="77777777" w:rsidR="00726496" w:rsidRPr="00B9669B" w:rsidRDefault="00726496" w:rsidP="00726496">
            <w:r w:rsidRPr="00B9669B">
              <w:rPr>
                <w:u w:val="single"/>
              </w:rPr>
              <w:t>Physical Count</w:t>
            </w:r>
            <w:r w:rsidRPr="00B9669B">
              <w:t xml:space="preserve">.  A control over inventory for detection of errors and loss utilizing a systematic item by item accounting of the quantity on hand.  </w:t>
            </w:r>
          </w:p>
        </w:tc>
        <w:tc>
          <w:tcPr>
            <w:tcW w:w="1440" w:type="dxa"/>
          </w:tcPr>
          <w:p w14:paraId="1788C4A0" w14:textId="77777777" w:rsidR="00726496" w:rsidRPr="002D7748" w:rsidRDefault="00726496" w:rsidP="00726496">
            <w:pPr>
              <w:spacing w:after="80"/>
            </w:pPr>
            <w:r w:rsidRPr="002D7748">
              <w:t>Section _.6</w:t>
            </w:r>
          </w:p>
        </w:tc>
      </w:tr>
      <w:tr w:rsidR="00726496" w:rsidRPr="00B9669B" w14:paraId="580D584C" w14:textId="77777777" w:rsidTr="004955A0">
        <w:trPr>
          <w:cantSplit/>
        </w:trPr>
        <w:tc>
          <w:tcPr>
            <w:tcW w:w="8478" w:type="dxa"/>
          </w:tcPr>
          <w:p w14:paraId="1A348BDC" w14:textId="77777777" w:rsidR="00726496" w:rsidRPr="00B9669B" w:rsidRDefault="00726496" w:rsidP="00726496">
            <w:r w:rsidRPr="00B9669B">
              <w:rPr>
                <w:szCs w:val="24"/>
                <w:u w:val="single"/>
              </w:rPr>
              <w:t>Pledge</w:t>
            </w:r>
            <w:r w:rsidRPr="00B9669B">
              <w:rPr>
                <w:szCs w:val="24"/>
              </w:rPr>
              <w:t xml:space="preserve">.  Promised donations or contributions of cash or other assets that nongovernmental entities, including individuals, voluntarily make to governments. </w:t>
            </w:r>
          </w:p>
        </w:tc>
        <w:tc>
          <w:tcPr>
            <w:tcW w:w="1440" w:type="dxa"/>
          </w:tcPr>
          <w:p w14:paraId="6CE62DB1" w14:textId="77777777" w:rsidR="00726496" w:rsidRDefault="00726496" w:rsidP="00726496">
            <w:pPr>
              <w:spacing w:after="80"/>
            </w:pPr>
            <w:r w:rsidRPr="002D7748">
              <w:t xml:space="preserve">General </w:t>
            </w:r>
          </w:p>
          <w:p w14:paraId="5573D709" w14:textId="77777777" w:rsidR="00726496" w:rsidRPr="002D7748" w:rsidRDefault="00726496" w:rsidP="00726496">
            <w:pPr>
              <w:spacing w:after="80"/>
            </w:pPr>
            <w:r w:rsidRPr="002D7748">
              <w:t>Section _.3</w:t>
            </w:r>
          </w:p>
        </w:tc>
      </w:tr>
      <w:tr w:rsidR="00726496" w:rsidRPr="00B9669B" w14:paraId="65143DB9" w14:textId="77777777" w:rsidTr="004955A0">
        <w:trPr>
          <w:cantSplit/>
        </w:trPr>
        <w:tc>
          <w:tcPr>
            <w:tcW w:w="8478" w:type="dxa"/>
          </w:tcPr>
          <w:p w14:paraId="13014842" w14:textId="77777777" w:rsidR="00726496" w:rsidRPr="00B9669B" w:rsidRDefault="00726496" w:rsidP="00726496">
            <w:pPr>
              <w:spacing w:line="240" w:lineRule="exact"/>
              <w:rPr>
                <w:szCs w:val="24"/>
              </w:rPr>
            </w:pPr>
            <w:r w:rsidRPr="00B9669B">
              <w:rPr>
                <w:u w:val="single"/>
              </w:rPr>
              <w:t>Pollution Remediation Obligation</w:t>
            </w:r>
            <w:r w:rsidRPr="00B9669B">
              <w:t>.  An obligation to address the current or potential detrimental effects of existing pollution by participating in pollution remediation activities.  For example, obligations to clean up spills of hazardous wastes or hazardous substances and obligations to remove contamination such as asbestos are pollution remediation obligations.</w:t>
            </w:r>
          </w:p>
        </w:tc>
        <w:tc>
          <w:tcPr>
            <w:tcW w:w="1440" w:type="dxa"/>
          </w:tcPr>
          <w:p w14:paraId="333DCDFD" w14:textId="77777777" w:rsidR="00726496" w:rsidRPr="002D7748" w:rsidRDefault="00726496" w:rsidP="00726496">
            <w:pPr>
              <w:spacing w:before="40" w:after="80"/>
            </w:pPr>
            <w:r w:rsidRPr="002D7748">
              <w:t>General</w:t>
            </w:r>
          </w:p>
        </w:tc>
      </w:tr>
      <w:tr w:rsidR="00726496" w:rsidRPr="00B9669B" w14:paraId="5C287DFC" w14:textId="77777777" w:rsidTr="004955A0">
        <w:trPr>
          <w:cantSplit/>
        </w:trPr>
        <w:tc>
          <w:tcPr>
            <w:tcW w:w="8478" w:type="dxa"/>
          </w:tcPr>
          <w:p w14:paraId="5490C1BD" w14:textId="77777777" w:rsidR="00726496" w:rsidRPr="00B9669B" w:rsidRDefault="00726496" w:rsidP="00726496">
            <w:r w:rsidRPr="00B9669B">
              <w:rPr>
                <w:u w:val="single"/>
              </w:rPr>
              <w:lastRenderedPageBreak/>
              <w:t>Pollution</w:t>
            </w:r>
            <w:r w:rsidRPr="00B9669B">
              <w:t>.  The U.S. Environmental Protection Agency provides the following discussion of the term pollution on its website:  "Generally, the presence of a substance in the environment that because of its chemical composition or quantity prevents the functioning of natural processes and produces undesirable environmental and health effects.  Under the Clean Water Act, for example the term has been defined as the man-made or man-induced alteration of the physical, biological, chemical, and radiological integrity of water and other media."</w:t>
            </w:r>
          </w:p>
        </w:tc>
        <w:tc>
          <w:tcPr>
            <w:tcW w:w="1440" w:type="dxa"/>
          </w:tcPr>
          <w:p w14:paraId="50656034" w14:textId="77777777" w:rsidR="00726496" w:rsidRPr="002D7748" w:rsidRDefault="00726496" w:rsidP="00726496">
            <w:pPr>
              <w:spacing w:after="80"/>
            </w:pPr>
            <w:r w:rsidRPr="002D7748">
              <w:t>General</w:t>
            </w:r>
          </w:p>
        </w:tc>
      </w:tr>
      <w:tr w:rsidR="00726496" w:rsidRPr="00B9669B" w14:paraId="4BF6B901" w14:textId="77777777" w:rsidTr="004955A0">
        <w:trPr>
          <w:cantSplit/>
        </w:trPr>
        <w:tc>
          <w:tcPr>
            <w:tcW w:w="8478" w:type="dxa"/>
          </w:tcPr>
          <w:p w14:paraId="1876173F" w14:textId="77777777" w:rsidR="00726496" w:rsidRPr="00B9669B" w:rsidRDefault="00726496" w:rsidP="00726496">
            <w:pPr>
              <w:keepLines/>
            </w:pPr>
            <w:r w:rsidRPr="00B9669B">
              <w:rPr>
                <w:u w:val="single"/>
              </w:rPr>
              <w:t>Potentially Responsible Party</w:t>
            </w:r>
            <w:r w:rsidRPr="00B9669B">
              <w:t>.  An individual or entity - including owners, operators, transporters, or generators - that is held potentially responsible for pollution at a site.  As used in this GASB Statement 49, the term refers to a party that is held by law as potentially responsible for pollution at any site.   It is not limited to parties associated with Superfund sites.</w:t>
            </w:r>
          </w:p>
        </w:tc>
        <w:tc>
          <w:tcPr>
            <w:tcW w:w="1440" w:type="dxa"/>
          </w:tcPr>
          <w:p w14:paraId="0566988B" w14:textId="77777777" w:rsidR="00726496" w:rsidRPr="002D7748" w:rsidRDefault="00726496" w:rsidP="00726496">
            <w:pPr>
              <w:spacing w:after="80"/>
            </w:pPr>
            <w:r w:rsidRPr="002D7748">
              <w:t>General</w:t>
            </w:r>
          </w:p>
        </w:tc>
      </w:tr>
      <w:tr w:rsidR="00726496" w:rsidRPr="00B9669B" w14:paraId="4B7B609B" w14:textId="77777777" w:rsidTr="004955A0">
        <w:trPr>
          <w:cantSplit/>
        </w:trPr>
        <w:tc>
          <w:tcPr>
            <w:tcW w:w="8478" w:type="dxa"/>
          </w:tcPr>
          <w:p w14:paraId="53243128" w14:textId="77777777" w:rsidR="00726496" w:rsidRPr="00B9669B" w:rsidRDefault="00726496" w:rsidP="00726496">
            <w:r w:rsidRPr="00B9669B">
              <w:rPr>
                <w:u w:val="single"/>
              </w:rPr>
              <w:t>Prepaid Expenses</w:t>
            </w:r>
            <w:r w:rsidRPr="00B9669B">
              <w:t xml:space="preserve">.  Costs paid in advance of the fiscal period in which benefit is recognized.  </w:t>
            </w:r>
          </w:p>
        </w:tc>
        <w:tc>
          <w:tcPr>
            <w:tcW w:w="1440" w:type="dxa"/>
          </w:tcPr>
          <w:p w14:paraId="2E7EA48C" w14:textId="77777777" w:rsidR="00726496" w:rsidRPr="002D7748" w:rsidRDefault="00726496" w:rsidP="00726496">
            <w:pPr>
              <w:spacing w:after="80"/>
            </w:pPr>
            <w:r w:rsidRPr="002D7748">
              <w:t>General</w:t>
            </w:r>
          </w:p>
        </w:tc>
      </w:tr>
      <w:tr w:rsidR="00726496" w:rsidRPr="00B9669B" w14:paraId="6C2FA10B" w14:textId="77777777" w:rsidTr="004955A0">
        <w:trPr>
          <w:cantSplit/>
        </w:trPr>
        <w:tc>
          <w:tcPr>
            <w:tcW w:w="8478" w:type="dxa"/>
          </w:tcPr>
          <w:p w14:paraId="5735FAAA" w14:textId="77777777" w:rsidR="00726496" w:rsidRPr="00B9669B" w:rsidRDefault="00726496" w:rsidP="00726496">
            <w:r w:rsidRPr="00B9669B">
              <w:rPr>
                <w:szCs w:val="24"/>
                <w:u w:val="words"/>
              </w:rPr>
              <w:t>Probable</w:t>
            </w:r>
            <w:r>
              <w:rPr>
                <w:szCs w:val="24"/>
              </w:rPr>
              <w:t>.  The</w:t>
            </w:r>
            <w:r w:rsidRPr="00B9669B">
              <w:rPr>
                <w:szCs w:val="24"/>
              </w:rPr>
              <w:t xml:space="preserve"> future event is likely to occur.</w:t>
            </w:r>
            <w:r>
              <w:rPr>
                <w:szCs w:val="24"/>
              </w:rPr>
              <w:t xml:space="preserve"> See </w:t>
            </w:r>
            <w:r w:rsidRPr="005D0457">
              <w:rPr>
                <w:szCs w:val="24"/>
              </w:rPr>
              <w:t xml:space="preserve">GASB </w:t>
            </w:r>
            <w:r>
              <w:rPr>
                <w:szCs w:val="24"/>
              </w:rPr>
              <w:t>Statement No. 62 paragraph 100</w:t>
            </w:r>
          </w:p>
        </w:tc>
        <w:tc>
          <w:tcPr>
            <w:tcW w:w="1440" w:type="dxa"/>
          </w:tcPr>
          <w:p w14:paraId="4CDE3C3A" w14:textId="77777777" w:rsidR="00726496" w:rsidRDefault="00726496" w:rsidP="00726496">
            <w:pPr>
              <w:spacing w:after="80"/>
            </w:pPr>
            <w:r w:rsidRPr="002D7748">
              <w:t>Section _.13</w:t>
            </w:r>
          </w:p>
          <w:p w14:paraId="04B94934" w14:textId="77777777" w:rsidR="00726496" w:rsidRDefault="00726496" w:rsidP="00726496">
            <w:pPr>
              <w:spacing w:before="40" w:after="80"/>
            </w:pPr>
            <w:r w:rsidRPr="002D7748">
              <w:t>Section _.14</w:t>
            </w:r>
          </w:p>
          <w:p w14:paraId="5339F1FB" w14:textId="77777777" w:rsidR="00726496" w:rsidRDefault="00726496" w:rsidP="00726496">
            <w:pPr>
              <w:spacing w:before="40" w:after="80"/>
            </w:pPr>
            <w:r w:rsidRPr="002D7748">
              <w:t>Section _.15</w:t>
            </w:r>
          </w:p>
          <w:p w14:paraId="71051CD2" w14:textId="77777777" w:rsidR="00726496" w:rsidRPr="002D7748" w:rsidRDefault="00726496" w:rsidP="00726496">
            <w:pPr>
              <w:spacing w:after="80"/>
            </w:pPr>
            <w:r w:rsidRPr="002D7748">
              <w:t>Section _.16</w:t>
            </w:r>
          </w:p>
        </w:tc>
      </w:tr>
      <w:tr w:rsidR="00726496" w:rsidRPr="00B9669B" w14:paraId="7E0AC291" w14:textId="77777777" w:rsidTr="004955A0">
        <w:trPr>
          <w:cantSplit/>
        </w:trPr>
        <w:tc>
          <w:tcPr>
            <w:tcW w:w="8478" w:type="dxa"/>
          </w:tcPr>
          <w:p w14:paraId="7A420D77" w14:textId="77777777" w:rsidR="00726496" w:rsidRPr="00B9669B" w:rsidRDefault="00726496" w:rsidP="00726496">
            <w:pPr>
              <w:rPr>
                <w:szCs w:val="24"/>
              </w:rPr>
            </w:pPr>
            <w:r w:rsidRPr="00B9669B">
              <w:rPr>
                <w:szCs w:val="24"/>
                <w:u w:val="single"/>
              </w:rPr>
              <w:t>Reasonably Estimate.</w:t>
            </w:r>
            <w:r w:rsidRPr="00B9669B">
              <w:rPr>
                <w:szCs w:val="24"/>
              </w:rPr>
              <w:t xml:space="preserve">  A systematic process to estimate a value utilizing reliable information available at the time of the calculation.  The information utilized in the estimate is reliable if more information is measured than that which is assumed.  If </w:t>
            </w:r>
            <w:proofErr w:type="gramStart"/>
            <w:r w:rsidRPr="00B9669B">
              <w:rPr>
                <w:szCs w:val="24"/>
              </w:rPr>
              <w:t>the majority of</w:t>
            </w:r>
            <w:proofErr w:type="gramEnd"/>
            <w:r w:rsidRPr="00B9669B">
              <w:rPr>
                <w:szCs w:val="24"/>
              </w:rPr>
              <w:t xml:space="preserve"> the calculation is based on assumptions, the information utilized in the estimate is not reliable.  </w:t>
            </w:r>
          </w:p>
        </w:tc>
        <w:tc>
          <w:tcPr>
            <w:tcW w:w="1440" w:type="dxa"/>
          </w:tcPr>
          <w:p w14:paraId="530B92C7" w14:textId="77777777" w:rsidR="00726496" w:rsidRPr="002D7748" w:rsidRDefault="00726496" w:rsidP="00726496">
            <w:pPr>
              <w:spacing w:before="40" w:after="80"/>
              <w:rPr>
                <w:szCs w:val="24"/>
              </w:rPr>
            </w:pPr>
            <w:r w:rsidRPr="002D7748">
              <w:t>Section _.5</w:t>
            </w:r>
          </w:p>
        </w:tc>
      </w:tr>
      <w:tr w:rsidR="00726496" w:rsidRPr="00B9669B" w14:paraId="38B956D7" w14:textId="77777777" w:rsidTr="004955A0">
        <w:trPr>
          <w:cantSplit/>
        </w:trPr>
        <w:tc>
          <w:tcPr>
            <w:tcW w:w="8478" w:type="dxa"/>
          </w:tcPr>
          <w:p w14:paraId="7DD7328D" w14:textId="77777777" w:rsidR="00726496" w:rsidRPr="00B9669B"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rPr>
                <w:szCs w:val="24"/>
                <w:u w:val="single"/>
              </w:rPr>
            </w:pPr>
            <w:r w:rsidRPr="00B9669B">
              <w:rPr>
                <w:u w:val="single"/>
              </w:rPr>
              <w:t>Reasonably Possible</w:t>
            </w:r>
            <w:r w:rsidRPr="00B9669B">
              <w:t xml:space="preserve">.  The chance of occurrence is </w:t>
            </w:r>
            <w:r>
              <w:t>more</w:t>
            </w:r>
            <w:r w:rsidRPr="00B9669B">
              <w:t xml:space="preserve"> th</w:t>
            </w:r>
            <w:r>
              <w:t>an remote but less than likely</w:t>
            </w:r>
            <w:r w:rsidRPr="00B9669B">
              <w:t xml:space="preserve">. </w:t>
            </w:r>
            <w:r w:rsidRPr="00010E73">
              <w:t>See GASB Statement No. 62 paragraph 100</w:t>
            </w:r>
          </w:p>
        </w:tc>
        <w:tc>
          <w:tcPr>
            <w:tcW w:w="1440" w:type="dxa"/>
          </w:tcPr>
          <w:p w14:paraId="43BB516B" w14:textId="77777777" w:rsidR="00726496" w:rsidRDefault="00726496" w:rsidP="00726496">
            <w:pPr>
              <w:spacing w:after="80"/>
            </w:pPr>
            <w:r w:rsidRPr="002D7748">
              <w:t>Section _.13</w:t>
            </w:r>
          </w:p>
          <w:p w14:paraId="042F5C01" w14:textId="77777777" w:rsidR="00726496" w:rsidRDefault="00726496" w:rsidP="00726496">
            <w:pPr>
              <w:spacing w:before="40" w:after="80"/>
            </w:pPr>
            <w:r w:rsidRPr="002D7748">
              <w:t>Section _.14</w:t>
            </w:r>
          </w:p>
          <w:p w14:paraId="27E93595" w14:textId="77777777" w:rsidR="00726496" w:rsidRPr="002D7748" w:rsidRDefault="00726496" w:rsidP="00726496">
            <w:pPr>
              <w:spacing w:after="80"/>
            </w:pPr>
            <w:r w:rsidRPr="002D7748">
              <w:t>Section _.16</w:t>
            </w:r>
          </w:p>
        </w:tc>
      </w:tr>
      <w:tr w:rsidR="00726496" w:rsidRPr="00B9669B" w14:paraId="56D6ACBA" w14:textId="77777777" w:rsidTr="004955A0">
        <w:trPr>
          <w:cantSplit/>
        </w:trPr>
        <w:tc>
          <w:tcPr>
            <w:tcW w:w="8478" w:type="dxa"/>
          </w:tcPr>
          <w:p w14:paraId="39455B69" w14:textId="77777777" w:rsidR="00726496"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60"/>
              <w:rPr>
                <w:szCs w:val="24"/>
              </w:rPr>
            </w:pPr>
            <w:r w:rsidRPr="00B9669B">
              <w:rPr>
                <w:szCs w:val="24"/>
                <w:u w:val="single"/>
              </w:rPr>
              <w:t>Receivable</w:t>
            </w:r>
            <w:r w:rsidRPr="00B9669B">
              <w:rPr>
                <w:szCs w:val="24"/>
              </w:rPr>
              <w:t xml:space="preserve">.  An amount owed to the State from a counterparty in a transaction.  </w:t>
            </w:r>
          </w:p>
          <w:p w14:paraId="34D094CD" w14:textId="77777777" w:rsidR="00726496"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60" w:after="60"/>
              <w:ind w:left="1166"/>
              <w:rPr>
                <w:szCs w:val="24"/>
              </w:rPr>
            </w:pPr>
            <w:r>
              <w:rPr>
                <w:szCs w:val="24"/>
              </w:rPr>
              <w:t>For Section _.3 Grants and Contributions, this would include pledges.</w:t>
            </w:r>
          </w:p>
          <w:p w14:paraId="40E94527" w14:textId="77777777" w:rsidR="00726496" w:rsidRPr="00B9669B" w:rsidRDefault="00726496" w:rsidP="00726496">
            <w:pPr>
              <w:spacing w:after="60"/>
            </w:pPr>
            <w:r w:rsidRPr="00B9669B">
              <w:rPr>
                <w:szCs w:val="24"/>
              </w:rPr>
              <w:t xml:space="preserve">For </w:t>
            </w:r>
            <w:r>
              <w:rPr>
                <w:szCs w:val="24"/>
              </w:rPr>
              <w:t xml:space="preserve">Section _.5 Refunds Receivable, </w:t>
            </w:r>
            <w:r w:rsidRPr="00B9669B">
              <w:rPr>
                <w:szCs w:val="24"/>
              </w:rPr>
              <w:t xml:space="preserve">the counterparty must be a non-State party. </w:t>
            </w:r>
          </w:p>
        </w:tc>
        <w:tc>
          <w:tcPr>
            <w:tcW w:w="1440" w:type="dxa"/>
          </w:tcPr>
          <w:p w14:paraId="500ECA59" w14:textId="77777777" w:rsidR="00726496" w:rsidRDefault="00726496" w:rsidP="00726496">
            <w:pPr>
              <w:spacing w:after="80"/>
            </w:pPr>
            <w:r w:rsidRPr="002D7748">
              <w:t>Section _.3</w:t>
            </w:r>
          </w:p>
          <w:p w14:paraId="6275A8B9" w14:textId="77777777" w:rsidR="00726496" w:rsidRPr="002D7748" w:rsidRDefault="00726496" w:rsidP="00726496">
            <w:pPr>
              <w:spacing w:before="40" w:after="80"/>
            </w:pPr>
            <w:r w:rsidRPr="002D7748">
              <w:t>Section _.5</w:t>
            </w:r>
          </w:p>
        </w:tc>
      </w:tr>
      <w:tr w:rsidR="00726496" w:rsidRPr="00B9669B" w14:paraId="16BD92B1" w14:textId="77777777" w:rsidTr="004955A0">
        <w:trPr>
          <w:cantSplit/>
        </w:trPr>
        <w:tc>
          <w:tcPr>
            <w:tcW w:w="8478" w:type="dxa"/>
          </w:tcPr>
          <w:p w14:paraId="04AD4E84" w14:textId="3D829FCF" w:rsidR="00726496" w:rsidRPr="00B9669B" w:rsidRDefault="00726496" w:rsidP="00726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before="60" w:after="60"/>
              <w:rPr>
                <w:szCs w:val="24"/>
              </w:rPr>
            </w:pPr>
            <w:r w:rsidRPr="00B9669B">
              <w:rPr>
                <w:szCs w:val="24"/>
                <w:u w:val="single"/>
              </w:rPr>
              <w:lastRenderedPageBreak/>
              <w:t>Reclassifications of Capital Assets</w:t>
            </w:r>
            <w:r w:rsidRPr="00B9669B">
              <w:rPr>
                <w:szCs w:val="24"/>
              </w:rPr>
              <w:t>.  Should occur only between Construction in Progress</w:t>
            </w:r>
            <w:r>
              <w:rPr>
                <w:szCs w:val="24"/>
              </w:rPr>
              <w:t xml:space="preserve"> (also known as Asset Under Construction)</w:t>
            </w:r>
            <w:r w:rsidRPr="00B9669B">
              <w:rPr>
                <w:szCs w:val="24"/>
              </w:rPr>
              <w:t xml:space="preserve"> and other capital asset categories.  Balances previously reported as Construction in Progress should be moved to other capital asset categories upon completion and use of the asset.  </w:t>
            </w:r>
          </w:p>
        </w:tc>
        <w:tc>
          <w:tcPr>
            <w:tcW w:w="1440" w:type="dxa"/>
          </w:tcPr>
          <w:p w14:paraId="07A9C37F" w14:textId="77777777" w:rsidR="00726496" w:rsidRPr="002D7748" w:rsidRDefault="00726496" w:rsidP="00726496">
            <w:pPr>
              <w:spacing w:before="40" w:after="80"/>
            </w:pPr>
            <w:r w:rsidRPr="002D7748">
              <w:t>Section _.8</w:t>
            </w:r>
          </w:p>
        </w:tc>
      </w:tr>
      <w:tr w:rsidR="00726496" w:rsidRPr="00B9669B" w14:paraId="191F10E0" w14:textId="77777777" w:rsidTr="004955A0">
        <w:trPr>
          <w:cantSplit/>
        </w:trPr>
        <w:tc>
          <w:tcPr>
            <w:tcW w:w="8478" w:type="dxa"/>
          </w:tcPr>
          <w:p w14:paraId="01B14295" w14:textId="77777777" w:rsidR="00726496" w:rsidRPr="00B9669B"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szCs w:val="24"/>
                <w:u w:val="single"/>
              </w:rPr>
              <w:t>Recognized events.</w:t>
            </w:r>
            <w:r w:rsidRPr="00B9669B">
              <w:rPr>
                <w:szCs w:val="24"/>
              </w:rPr>
              <w:t xml:space="preserve">   Events occurring after year-end that provide additional evidence with respect to conditions that existed at year-end and affect the estimates inherent in the process of preparing financial statements.  All information that becomes available prior to the issuance of the financial statements should be used in evaluating the conditions on which the estimates were based. The financial statements should be adjusted for any changes in estimates resulting from the use of such evidence. </w:t>
            </w:r>
          </w:p>
        </w:tc>
        <w:tc>
          <w:tcPr>
            <w:tcW w:w="1440" w:type="dxa"/>
          </w:tcPr>
          <w:p w14:paraId="0853FD0A" w14:textId="77777777" w:rsidR="00726496" w:rsidRPr="002D7748" w:rsidRDefault="00726496" w:rsidP="00726496">
            <w:pPr>
              <w:spacing w:after="80"/>
            </w:pPr>
            <w:r w:rsidRPr="002D7748">
              <w:t>General</w:t>
            </w:r>
          </w:p>
        </w:tc>
      </w:tr>
      <w:tr w:rsidR="00726496" w:rsidRPr="00B9669B" w14:paraId="5C85414A" w14:textId="77777777" w:rsidTr="004955A0">
        <w:trPr>
          <w:cantSplit/>
        </w:trPr>
        <w:tc>
          <w:tcPr>
            <w:tcW w:w="8478" w:type="dxa"/>
          </w:tcPr>
          <w:p w14:paraId="57D71A3C" w14:textId="77777777" w:rsidR="00726496" w:rsidRPr="00B9669B" w:rsidRDefault="00726496" w:rsidP="00726496">
            <w:pPr>
              <w:spacing w:after="80"/>
              <w:jc w:val="left"/>
              <w:rPr>
                <w:szCs w:val="24"/>
              </w:rPr>
            </w:pPr>
            <w:r w:rsidRPr="00B9669B">
              <w:rPr>
                <w:szCs w:val="24"/>
                <w:u w:val="single"/>
              </w:rPr>
              <w:t>Remote</w:t>
            </w:r>
            <w:r w:rsidRPr="00B9669B">
              <w:rPr>
                <w:szCs w:val="24"/>
              </w:rPr>
              <w:t>.  A future event is remote if the event has only a slight chance of occurring.</w:t>
            </w:r>
          </w:p>
        </w:tc>
        <w:tc>
          <w:tcPr>
            <w:tcW w:w="1440" w:type="dxa"/>
          </w:tcPr>
          <w:p w14:paraId="72165B94" w14:textId="77777777" w:rsidR="00726496" w:rsidRDefault="00726496" w:rsidP="00726496">
            <w:pPr>
              <w:spacing w:after="80"/>
            </w:pPr>
            <w:r w:rsidRPr="002D7748">
              <w:t>Section _.4</w:t>
            </w:r>
          </w:p>
          <w:p w14:paraId="5EC434F3" w14:textId="77777777" w:rsidR="00726496" w:rsidRDefault="00726496" w:rsidP="00726496">
            <w:pPr>
              <w:spacing w:before="40" w:after="80"/>
            </w:pPr>
            <w:r w:rsidRPr="002D7748">
              <w:t>Section _.13</w:t>
            </w:r>
          </w:p>
          <w:p w14:paraId="2830359B" w14:textId="77777777" w:rsidR="00726496" w:rsidRPr="002D7748" w:rsidRDefault="00726496" w:rsidP="00726496">
            <w:pPr>
              <w:spacing w:after="80"/>
            </w:pPr>
            <w:r w:rsidRPr="002D7748">
              <w:t>Section _.16</w:t>
            </w:r>
          </w:p>
        </w:tc>
      </w:tr>
      <w:tr w:rsidR="00726496" w:rsidRPr="00B9669B" w14:paraId="5BA08F9C" w14:textId="77777777" w:rsidTr="004955A0">
        <w:trPr>
          <w:cantSplit/>
        </w:trPr>
        <w:tc>
          <w:tcPr>
            <w:tcW w:w="8478" w:type="dxa"/>
          </w:tcPr>
          <w:p w14:paraId="7F26A6BF" w14:textId="77777777" w:rsidR="00726496" w:rsidRPr="00B9669B" w:rsidRDefault="00726496" w:rsidP="00726496">
            <w:pPr>
              <w:rPr>
                <w:szCs w:val="24"/>
              </w:rPr>
            </w:pPr>
            <w:r w:rsidRPr="00B9669B">
              <w:rPr>
                <w:u w:val="single"/>
              </w:rPr>
              <w:t>Rent Holiday</w:t>
            </w:r>
            <w:r w:rsidRPr="00B9669B">
              <w:t>.  A period of rent reduction in the first few months or years of the lease.  A rent holiday usually is designed to ease the lessee's short-term cash flow requirements or to otherwise provide financing for the lessee.  A reduced payment at the end of a lease term is not a rent holiday.</w:t>
            </w:r>
          </w:p>
        </w:tc>
        <w:tc>
          <w:tcPr>
            <w:tcW w:w="1440" w:type="dxa"/>
          </w:tcPr>
          <w:p w14:paraId="08D7D8B0" w14:textId="77777777" w:rsidR="00726496" w:rsidRPr="002D7748" w:rsidRDefault="00726496" w:rsidP="00726496">
            <w:pPr>
              <w:spacing w:before="40" w:after="80"/>
            </w:pPr>
            <w:r w:rsidRPr="002D7748">
              <w:t>Section _.9</w:t>
            </w:r>
          </w:p>
        </w:tc>
      </w:tr>
      <w:tr w:rsidR="00726496" w:rsidRPr="00B9669B" w14:paraId="264A5007" w14:textId="77777777" w:rsidTr="004955A0">
        <w:trPr>
          <w:cantSplit/>
        </w:trPr>
        <w:tc>
          <w:tcPr>
            <w:tcW w:w="8478" w:type="dxa"/>
          </w:tcPr>
          <w:p w14:paraId="39B22BF0" w14:textId="1C4F4504" w:rsidR="00726496" w:rsidRPr="00B9669B" w:rsidRDefault="00726496" w:rsidP="00590C66">
            <w:r w:rsidRPr="00B9669B">
              <w:rPr>
                <w:rFonts w:cs="Courier New"/>
                <w:u w:val="single"/>
              </w:rPr>
              <w:t>Restricted</w:t>
            </w:r>
            <w:r w:rsidR="00D77C74">
              <w:rPr>
                <w:rFonts w:cs="Courier New"/>
                <w:u w:val="single"/>
              </w:rPr>
              <w:t xml:space="preserve"> fund balance</w:t>
            </w:r>
            <w:r w:rsidRPr="00B9669B">
              <w:rPr>
                <w:rFonts w:cs="Courier New"/>
              </w:rPr>
              <w:t xml:space="preserve">.  </w:t>
            </w:r>
            <w:r w:rsidR="00D77C74">
              <w:rPr>
                <w:rFonts w:cs="Courier New"/>
              </w:rPr>
              <w:t>F</w:t>
            </w:r>
            <w:r w:rsidR="00D77C74" w:rsidRPr="00D77C74">
              <w:rPr>
                <w:rFonts w:cs="Courier New"/>
              </w:rPr>
              <w:t xml:space="preserve">und balance </w:t>
            </w:r>
            <w:r w:rsidR="00D77C74">
              <w:rPr>
                <w:rFonts w:cs="Courier New"/>
              </w:rPr>
              <w:t>that can only be used for specific purposes stipulated by external resource providers</w:t>
            </w:r>
            <w:r w:rsidR="00590C66">
              <w:rPr>
                <w:rFonts w:cs="Courier New"/>
              </w:rPr>
              <w:t xml:space="preserve"> (ex., creditors, grantors, laws/regulations of other governments)</w:t>
            </w:r>
            <w:r w:rsidR="00D77C74">
              <w:rPr>
                <w:rFonts w:cs="Courier New"/>
              </w:rPr>
              <w:t>, constitutional provisions, or enabling legislation.</w:t>
            </w:r>
            <w:r w:rsidR="00590C66">
              <w:rPr>
                <w:rFonts w:cs="Courier New"/>
              </w:rPr>
              <w:t xml:space="preserve"> </w:t>
            </w:r>
          </w:p>
        </w:tc>
        <w:tc>
          <w:tcPr>
            <w:tcW w:w="1440" w:type="dxa"/>
          </w:tcPr>
          <w:p w14:paraId="034C6EFB" w14:textId="77777777" w:rsidR="00726496" w:rsidRPr="002D7748" w:rsidRDefault="00726496" w:rsidP="00726496">
            <w:pPr>
              <w:spacing w:after="80"/>
            </w:pPr>
            <w:r w:rsidRPr="002D7748">
              <w:t>Section _.20</w:t>
            </w:r>
          </w:p>
        </w:tc>
      </w:tr>
      <w:tr w:rsidR="00726496" w:rsidRPr="00B9669B" w14:paraId="1A545505" w14:textId="77777777" w:rsidTr="004955A0">
        <w:trPr>
          <w:cantSplit/>
        </w:trPr>
        <w:tc>
          <w:tcPr>
            <w:tcW w:w="8478" w:type="dxa"/>
          </w:tcPr>
          <w:p w14:paraId="0BECE2E8" w14:textId="77777777" w:rsidR="00726496" w:rsidRPr="00B9669B" w:rsidRDefault="00726496" w:rsidP="00726496">
            <w:pPr>
              <w:rPr>
                <w:rFonts w:cs="Courier New"/>
              </w:rPr>
            </w:pPr>
            <w:r w:rsidRPr="00B9669B">
              <w:rPr>
                <w:szCs w:val="24"/>
                <w:u w:val="single"/>
              </w:rPr>
              <w:t>Revenue</w:t>
            </w:r>
            <w:r w:rsidRPr="00B9669B">
              <w:rPr>
                <w:szCs w:val="24"/>
              </w:rPr>
              <w:t xml:space="preserve">.  Increases in fund balance or net assets.  </w:t>
            </w:r>
          </w:p>
        </w:tc>
        <w:tc>
          <w:tcPr>
            <w:tcW w:w="1440" w:type="dxa"/>
          </w:tcPr>
          <w:p w14:paraId="19C997E7" w14:textId="77777777" w:rsidR="00726496" w:rsidRDefault="00726496" w:rsidP="00726496">
            <w:pPr>
              <w:spacing w:after="80"/>
            </w:pPr>
            <w:r w:rsidRPr="002D7748">
              <w:t xml:space="preserve">General </w:t>
            </w:r>
          </w:p>
          <w:p w14:paraId="65D5468B" w14:textId="77777777" w:rsidR="00726496" w:rsidRDefault="00726496" w:rsidP="00726496">
            <w:pPr>
              <w:spacing w:before="40" w:after="80"/>
            </w:pPr>
            <w:r w:rsidRPr="002D7748">
              <w:t>Section _.3</w:t>
            </w:r>
          </w:p>
          <w:p w14:paraId="4200233B" w14:textId="77777777" w:rsidR="00726496" w:rsidRPr="002D7748" w:rsidRDefault="00726496" w:rsidP="00726496">
            <w:pPr>
              <w:spacing w:after="80"/>
              <w:rPr>
                <w:rFonts w:cs="Courier New"/>
              </w:rPr>
            </w:pPr>
            <w:r w:rsidRPr="002D7748">
              <w:t>Section _.20</w:t>
            </w:r>
          </w:p>
        </w:tc>
      </w:tr>
      <w:tr w:rsidR="00726496" w:rsidRPr="00B9669B" w14:paraId="355F70DB" w14:textId="77777777" w:rsidTr="004955A0">
        <w:trPr>
          <w:cantSplit/>
        </w:trPr>
        <w:tc>
          <w:tcPr>
            <w:tcW w:w="8478" w:type="dxa"/>
          </w:tcPr>
          <w:p w14:paraId="304E5857" w14:textId="77777777" w:rsidR="00726496" w:rsidRPr="00B9669B" w:rsidRDefault="00726496" w:rsidP="00726496">
            <w:pPr>
              <w:spacing w:line="240" w:lineRule="exact"/>
              <w:rPr>
                <w:szCs w:val="24"/>
              </w:rPr>
            </w:pPr>
            <w:r w:rsidRPr="00B9669B">
              <w:rPr>
                <w:szCs w:val="24"/>
                <w:u w:val="single"/>
              </w:rPr>
              <w:t>Rights-of-Way</w:t>
            </w:r>
            <w:r w:rsidRPr="00B9669B">
              <w:rPr>
                <w:szCs w:val="24"/>
              </w:rPr>
              <w:t>.  Land, property, or interest therein, often in a strip, acquired for infrastructure such as a highway, rail bed, pipeline, electric power lines, or telephone facilities.  State agencies should report rights-of-way within the Land category.</w:t>
            </w:r>
          </w:p>
        </w:tc>
        <w:tc>
          <w:tcPr>
            <w:tcW w:w="1440" w:type="dxa"/>
          </w:tcPr>
          <w:p w14:paraId="489FCBEF" w14:textId="77777777" w:rsidR="00726496" w:rsidRPr="002D7748" w:rsidRDefault="00726496" w:rsidP="00726496">
            <w:pPr>
              <w:spacing w:before="40" w:after="80"/>
            </w:pPr>
            <w:r w:rsidRPr="002D7748">
              <w:t>Section _.8</w:t>
            </w:r>
          </w:p>
        </w:tc>
      </w:tr>
      <w:tr w:rsidR="00726496" w:rsidRPr="00B9669B" w14:paraId="6D1888AC" w14:textId="77777777" w:rsidTr="004955A0">
        <w:trPr>
          <w:cantSplit/>
        </w:trPr>
        <w:tc>
          <w:tcPr>
            <w:tcW w:w="8478" w:type="dxa"/>
          </w:tcPr>
          <w:p w14:paraId="29796404" w14:textId="77777777" w:rsidR="00726496" w:rsidRDefault="00726496" w:rsidP="00726496">
            <w:pPr>
              <w:spacing w:after="20"/>
              <w:rPr>
                <w:szCs w:val="24"/>
              </w:rPr>
            </w:pPr>
            <w:r w:rsidRPr="00B9669B">
              <w:rPr>
                <w:szCs w:val="24"/>
                <w:u w:val="single"/>
              </w:rPr>
              <w:lastRenderedPageBreak/>
              <w:t>Risk Financing</w:t>
            </w:r>
            <w:r w:rsidRPr="00B9669B">
              <w:rPr>
                <w:szCs w:val="24"/>
              </w:rPr>
              <w:t>.  An element of risk management that involves implementation of plans for paying the costs of losses when they occur.  Some risk financing options available to organizations include:</w:t>
            </w:r>
          </w:p>
          <w:p w14:paraId="30FEBADB" w14:textId="77777777" w:rsidR="00726496" w:rsidRPr="00A2453B" w:rsidRDefault="00726496" w:rsidP="00726496">
            <w:pPr>
              <w:pStyle w:val="ListParagraph"/>
              <w:numPr>
                <w:ilvl w:val="0"/>
                <w:numId w:val="41"/>
              </w:numPr>
              <w:spacing w:before="20" w:after="20"/>
              <w:ind w:left="706" w:hanging="346"/>
              <w:rPr>
                <w:szCs w:val="24"/>
              </w:rPr>
            </w:pPr>
            <w:proofErr w:type="gramStart"/>
            <w:r w:rsidRPr="00A2453B">
              <w:rPr>
                <w:szCs w:val="24"/>
              </w:rPr>
              <w:t>Insure</w:t>
            </w:r>
            <w:proofErr w:type="gramEnd"/>
            <w:r w:rsidRPr="00A2453B">
              <w:rPr>
                <w:szCs w:val="24"/>
              </w:rPr>
              <w:t xml:space="preserve"> risk by paying premiums to an insurance company or to a State claim-paying programs (see definition above), such as the Insurance Reserve Fund, which accepts the risk and agrees to pay the premium-paying organization in the event of a covered loss.</w:t>
            </w:r>
          </w:p>
          <w:p w14:paraId="37532F63" w14:textId="77777777" w:rsidR="00726496" w:rsidRPr="00B9669B"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sidRPr="00B9669B">
              <w:rPr>
                <w:szCs w:val="24"/>
              </w:rPr>
              <w:t>"Self-insure" risk (see definition of Self-Insurance).</w:t>
            </w:r>
          </w:p>
        </w:tc>
        <w:tc>
          <w:tcPr>
            <w:tcW w:w="1440" w:type="dxa"/>
          </w:tcPr>
          <w:p w14:paraId="0D4DBBEA" w14:textId="77777777" w:rsidR="00726496" w:rsidRDefault="00726496" w:rsidP="00726496">
            <w:pPr>
              <w:spacing w:after="80"/>
            </w:pPr>
            <w:r w:rsidRPr="002D7748">
              <w:t>Section _.15</w:t>
            </w:r>
          </w:p>
          <w:p w14:paraId="7A2EB667" w14:textId="77777777" w:rsidR="00726496" w:rsidRPr="002D7748" w:rsidRDefault="00726496" w:rsidP="00726496">
            <w:pPr>
              <w:spacing w:after="80"/>
            </w:pPr>
            <w:r w:rsidRPr="002D7748">
              <w:t>Section _.16</w:t>
            </w:r>
          </w:p>
        </w:tc>
      </w:tr>
      <w:tr w:rsidR="00726496" w:rsidRPr="00B9669B" w14:paraId="3D722BD7" w14:textId="77777777" w:rsidTr="004955A0">
        <w:trPr>
          <w:cantSplit/>
        </w:trPr>
        <w:tc>
          <w:tcPr>
            <w:tcW w:w="8478" w:type="dxa"/>
          </w:tcPr>
          <w:p w14:paraId="6140270B" w14:textId="77777777" w:rsidR="00726496" w:rsidRDefault="00726496" w:rsidP="00726496">
            <w:pPr>
              <w:spacing w:after="20"/>
              <w:rPr>
                <w:szCs w:val="24"/>
              </w:rPr>
            </w:pPr>
            <w:r w:rsidRPr="00B9669B">
              <w:rPr>
                <w:szCs w:val="24"/>
                <w:u w:val="single"/>
              </w:rPr>
              <w:t>Risk Management</w:t>
            </w:r>
            <w:r w:rsidRPr="00B9669B">
              <w:rPr>
                <w:szCs w:val="24"/>
              </w:rPr>
              <w:t>.  The process of managing an organization's activities to minimize the adverse effects of certain losses.  Organizations are subject to risks of loss arising from events such as:</w:t>
            </w:r>
          </w:p>
          <w:p w14:paraId="7526B4DF" w14:textId="77777777" w:rsidR="00726496" w:rsidRPr="00A2453B" w:rsidRDefault="00726496" w:rsidP="00726496">
            <w:pPr>
              <w:pStyle w:val="ListParagraph"/>
              <w:numPr>
                <w:ilvl w:val="0"/>
                <w:numId w:val="36"/>
              </w:numPr>
              <w:spacing w:before="20" w:after="20"/>
              <w:ind w:left="706" w:hanging="346"/>
              <w:rPr>
                <w:szCs w:val="24"/>
              </w:rPr>
            </w:pPr>
            <w:r w:rsidRPr="00A2453B">
              <w:rPr>
                <w:szCs w:val="24"/>
              </w:rPr>
              <w:t>Damages to, or destruction of, assets from causes such as fire, natural disasters, theft, vandalism, etc.</w:t>
            </w:r>
          </w:p>
          <w:p w14:paraId="68F5D415" w14:textId="77777777" w:rsidR="00726496" w:rsidRDefault="00726496" w:rsidP="00726496">
            <w:pPr>
              <w:pStyle w:val="ListParagraph"/>
              <w:numPr>
                <w:ilvl w:val="0"/>
                <w:numId w:val="36"/>
              </w:numPr>
              <w:spacing w:before="20" w:after="20"/>
              <w:ind w:left="706" w:hanging="346"/>
              <w:rPr>
                <w:szCs w:val="24"/>
              </w:rPr>
            </w:pPr>
            <w:r w:rsidRPr="00B9669B">
              <w:rPr>
                <w:szCs w:val="24"/>
              </w:rPr>
              <w:t>Injuries to employees.</w:t>
            </w:r>
          </w:p>
          <w:p w14:paraId="39D61A3F" w14:textId="77777777" w:rsidR="00726496" w:rsidRPr="00A2453B" w:rsidRDefault="00726496" w:rsidP="00726496">
            <w:pPr>
              <w:pStyle w:val="ListParagraph"/>
              <w:numPr>
                <w:ilvl w:val="0"/>
                <w:numId w:val="41"/>
              </w:numPr>
              <w:spacing w:after="80"/>
              <w:ind w:left="706" w:hanging="346"/>
              <w:rPr>
                <w:szCs w:val="24"/>
              </w:rPr>
            </w:pPr>
            <w:r w:rsidRPr="00B9669B">
              <w:rPr>
                <w:szCs w:val="24"/>
              </w:rPr>
              <w:t>Torts (wrongful acts, injuries, or damage, not involving a breach of contract, for which civil actions can be brought).</w:t>
            </w:r>
          </w:p>
        </w:tc>
        <w:tc>
          <w:tcPr>
            <w:tcW w:w="1440" w:type="dxa"/>
          </w:tcPr>
          <w:p w14:paraId="65B9BCF3" w14:textId="77777777" w:rsidR="00726496" w:rsidRDefault="00726496" w:rsidP="00726496">
            <w:pPr>
              <w:spacing w:after="80"/>
            </w:pPr>
            <w:r w:rsidRPr="002D7748">
              <w:t xml:space="preserve">General </w:t>
            </w:r>
          </w:p>
          <w:p w14:paraId="21929CDB" w14:textId="77777777" w:rsidR="00726496" w:rsidRDefault="00726496" w:rsidP="00726496">
            <w:pPr>
              <w:spacing w:before="40" w:after="80"/>
            </w:pPr>
            <w:r w:rsidRPr="002D7748">
              <w:t>Section _.15</w:t>
            </w:r>
          </w:p>
          <w:p w14:paraId="10984A97" w14:textId="77777777" w:rsidR="00726496" w:rsidRPr="002D7748" w:rsidRDefault="00726496" w:rsidP="00726496">
            <w:pPr>
              <w:spacing w:before="40" w:after="80"/>
              <w:rPr>
                <w:szCs w:val="24"/>
              </w:rPr>
            </w:pPr>
            <w:r w:rsidRPr="002D7748">
              <w:t>Section _.16</w:t>
            </w:r>
          </w:p>
        </w:tc>
      </w:tr>
      <w:tr w:rsidR="00726496" w:rsidRPr="00B9669B" w14:paraId="3A2DD6E0" w14:textId="77777777" w:rsidTr="004955A0">
        <w:trPr>
          <w:cantSplit/>
        </w:trPr>
        <w:tc>
          <w:tcPr>
            <w:tcW w:w="8478" w:type="dxa"/>
          </w:tcPr>
          <w:p w14:paraId="6008BEA8" w14:textId="77777777" w:rsidR="00726496" w:rsidRPr="00134D65" w:rsidRDefault="00726496" w:rsidP="00726496">
            <w:pPr>
              <w:spacing w:before="20" w:after="80"/>
              <w:rPr>
                <w:szCs w:val="24"/>
              </w:rPr>
            </w:pPr>
            <w:r w:rsidRPr="00134D65">
              <w:rPr>
                <w:szCs w:val="24"/>
                <w:u w:val="single"/>
              </w:rPr>
              <w:t>Salvage Value</w:t>
            </w:r>
            <w:r w:rsidRPr="00134D65">
              <w:rPr>
                <w:szCs w:val="24"/>
              </w:rPr>
              <w:t>.  The estimated fair value at the end of the asset’s useful life.  The State’s policy is that salvage value should not be considered in the calculation of depreciation unless it is substantial.</w:t>
            </w:r>
          </w:p>
        </w:tc>
        <w:tc>
          <w:tcPr>
            <w:tcW w:w="1440" w:type="dxa"/>
          </w:tcPr>
          <w:p w14:paraId="4A870DEB" w14:textId="77777777" w:rsidR="00726496" w:rsidRPr="002D7748" w:rsidRDefault="00726496" w:rsidP="00726496">
            <w:pPr>
              <w:spacing w:before="40" w:after="80"/>
              <w:rPr>
                <w:szCs w:val="24"/>
              </w:rPr>
            </w:pPr>
            <w:r w:rsidRPr="002D7748">
              <w:t>Section _.8</w:t>
            </w:r>
          </w:p>
        </w:tc>
      </w:tr>
      <w:tr w:rsidR="00726496" w:rsidRPr="00B9669B" w14:paraId="1EEF50ED" w14:textId="77777777" w:rsidTr="004955A0">
        <w:trPr>
          <w:cantSplit/>
        </w:trPr>
        <w:tc>
          <w:tcPr>
            <w:tcW w:w="8478" w:type="dxa"/>
          </w:tcPr>
          <w:p w14:paraId="0B991570" w14:textId="77777777" w:rsidR="00726496" w:rsidRPr="00B9669B"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u w:val="single"/>
              </w:rPr>
              <w:t>Scheduled Rent Increases</w:t>
            </w:r>
            <w:r w:rsidRPr="00B9669B">
              <w:t>.  Increases that are fixed in the lease agreement, take place with the passage of time, and are not contingent on future uncertain events.</w:t>
            </w:r>
          </w:p>
        </w:tc>
        <w:tc>
          <w:tcPr>
            <w:tcW w:w="1440" w:type="dxa"/>
          </w:tcPr>
          <w:p w14:paraId="0AD816CC" w14:textId="77777777" w:rsidR="00726496" w:rsidRPr="002D7748" w:rsidRDefault="00726496" w:rsidP="00726496">
            <w:pPr>
              <w:spacing w:after="80"/>
            </w:pPr>
            <w:r w:rsidRPr="002D7748">
              <w:t>Section _.9</w:t>
            </w:r>
          </w:p>
        </w:tc>
      </w:tr>
      <w:tr w:rsidR="00726496" w:rsidRPr="00B9669B" w14:paraId="138E3439" w14:textId="77777777" w:rsidTr="004955A0">
        <w:trPr>
          <w:cantSplit/>
        </w:trPr>
        <w:tc>
          <w:tcPr>
            <w:tcW w:w="8478" w:type="dxa"/>
          </w:tcPr>
          <w:p w14:paraId="5E004C24" w14:textId="77777777" w:rsidR="00726496" w:rsidRPr="00B9669B" w:rsidRDefault="00726496" w:rsidP="00726496">
            <w:r w:rsidRPr="00B9669B">
              <w:rPr>
                <w:szCs w:val="24"/>
                <w:u w:val="single"/>
              </w:rPr>
              <w:t>Self-Insurance</w:t>
            </w:r>
            <w:r w:rsidRPr="00B9669B">
              <w:rPr>
                <w:szCs w:val="24"/>
              </w:rPr>
              <w:t xml:space="preserve">.  The retention of risk of loss by an entity rather than transferring that risk to a third party through the purchase of an insurance policy.  Self-insurance is sometimes accompanied by the setting aside of assets to pay the costs of losses when they arise.  </w:t>
            </w:r>
            <w:proofErr w:type="gramStart"/>
            <w:r w:rsidRPr="00B9669B">
              <w:rPr>
                <w:szCs w:val="24"/>
              </w:rPr>
              <w:t>In reality, self-insurance</w:t>
            </w:r>
            <w:proofErr w:type="gramEnd"/>
            <w:r w:rsidRPr="00B9669B">
              <w:rPr>
                <w:szCs w:val="24"/>
              </w:rPr>
              <w:t xml:space="preserve"> is no insurance.</w:t>
            </w:r>
          </w:p>
        </w:tc>
        <w:tc>
          <w:tcPr>
            <w:tcW w:w="1440" w:type="dxa"/>
          </w:tcPr>
          <w:p w14:paraId="4C75FC2F" w14:textId="77777777" w:rsidR="00726496" w:rsidRDefault="00726496" w:rsidP="00726496">
            <w:pPr>
              <w:spacing w:after="80"/>
            </w:pPr>
            <w:r w:rsidRPr="002D7748">
              <w:t xml:space="preserve">General </w:t>
            </w:r>
          </w:p>
          <w:p w14:paraId="6558819F" w14:textId="77777777" w:rsidR="00726496" w:rsidRDefault="00726496" w:rsidP="00726496">
            <w:pPr>
              <w:spacing w:before="40" w:after="80"/>
            </w:pPr>
            <w:r w:rsidRPr="002D7748">
              <w:t>Section _.15</w:t>
            </w:r>
          </w:p>
          <w:p w14:paraId="0F7195D8" w14:textId="77777777" w:rsidR="00726496" w:rsidRPr="002D7748" w:rsidRDefault="00726496" w:rsidP="00726496">
            <w:pPr>
              <w:spacing w:after="80"/>
            </w:pPr>
            <w:r w:rsidRPr="002D7748">
              <w:t>Section _.16</w:t>
            </w:r>
          </w:p>
        </w:tc>
      </w:tr>
      <w:tr w:rsidR="00726496" w:rsidRPr="00B9669B" w14:paraId="5D489DC6" w14:textId="77777777" w:rsidTr="004955A0">
        <w:trPr>
          <w:cantSplit/>
        </w:trPr>
        <w:tc>
          <w:tcPr>
            <w:tcW w:w="8478" w:type="dxa"/>
          </w:tcPr>
          <w:p w14:paraId="51761D63" w14:textId="77777777" w:rsidR="00726496" w:rsidRPr="00B9669B" w:rsidRDefault="00726496" w:rsidP="00726496">
            <w:pPr>
              <w:rPr>
                <w:szCs w:val="24"/>
              </w:rPr>
            </w:pPr>
            <w:r w:rsidRPr="00B9669B">
              <w:rPr>
                <w:u w:val="single"/>
              </w:rPr>
              <w:t>Significant</w:t>
            </w:r>
            <w:r w:rsidRPr="00B9669B">
              <w:t xml:space="preserve">:  An amount that could have an </w:t>
            </w:r>
            <w:proofErr w:type="spellStart"/>
            <w:r w:rsidRPr="00B9669B">
              <w:t>adverse affect</w:t>
            </w:r>
            <w:proofErr w:type="spellEnd"/>
            <w:r w:rsidRPr="00B9669B">
              <w:t xml:space="preserve"> on the financial flexibility of an agency’s daily operation or on the interpretation of financial information provided by the agency.  </w:t>
            </w:r>
          </w:p>
        </w:tc>
        <w:tc>
          <w:tcPr>
            <w:tcW w:w="1440" w:type="dxa"/>
          </w:tcPr>
          <w:p w14:paraId="3B523F06" w14:textId="77777777" w:rsidR="00726496" w:rsidRPr="002D7748" w:rsidRDefault="00726496" w:rsidP="00726496">
            <w:pPr>
              <w:spacing w:before="40" w:after="80"/>
              <w:rPr>
                <w:szCs w:val="24"/>
              </w:rPr>
            </w:pPr>
            <w:r w:rsidRPr="002D7748">
              <w:t>Section _.16</w:t>
            </w:r>
          </w:p>
        </w:tc>
      </w:tr>
      <w:tr w:rsidR="00726496" w:rsidRPr="00B9669B" w14:paraId="1A356482" w14:textId="77777777" w:rsidTr="004955A0">
        <w:trPr>
          <w:cantSplit/>
        </w:trPr>
        <w:tc>
          <w:tcPr>
            <w:tcW w:w="8478" w:type="dxa"/>
          </w:tcPr>
          <w:p w14:paraId="45D9918B" w14:textId="77777777" w:rsidR="00726496" w:rsidRPr="00B9669B" w:rsidRDefault="00726496" w:rsidP="00726496">
            <w:pPr>
              <w:spacing w:before="60" w:after="80"/>
            </w:pPr>
            <w:r w:rsidRPr="00B9669B">
              <w:rPr>
                <w:szCs w:val="24"/>
                <w:u w:val="single"/>
              </w:rPr>
              <w:t>Software Development Project Commitments Outstanding</w:t>
            </w:r>
            <w:r w:rsidRPr="00B9669B">
              <w:rPr>
                <w:szCs w:val="24"/>
              </w:rPr>
              <w:t xml:space="preserve">.  Incomplete services to be received after June 30 under a contractual agreement arising from consulting or service contracts for the development of software.  The contract </w:t>
            </w:r>
            <w:proofErr w:type="gramStart"/>
            <w:r w:rsidRPr="00B9669B">
              <w:rPr>
                <w:szCs w:val="24"/>
              </w:rPr>
              <w:t>total</w:t>
            </w:r>
            <w:proofErr w:type="gramEnd"/>
            <w:r w:rsidRPr="00B9669B">
              <w:rPr>
                <w:szCs w:val="24"/>
              </w:rPr>
              <w:t xml:space="preserve"> less amount paid to the contractor is the software</w:t>
            </w:r>
            <w:r w:rsidRPr="00B9669B">
              <w:rPr>
                <w:i/>
                <w:iCs/>
                <w:szCs w:val="24"/>
              </w:rPr>
              <w:t xml:space="preserve"> development project commitments outstanding</w:t>
            </w:r>
            <w:r w:rsidRPr="00B9669B">
              <w:rPr>
                <w:szCs w:val="24"/>
              </w:rPr>
              <w:t xml:space="preserve"> at June 30.  </w:t>
            </w:r>
          </w:p>
        </w:tc>
        <w:tc>
          <w:tcPr>
            <w:tcW w:w="1440" w:type="dxa"/>
          </w:tcPr>
          <w:p w14:paraId="46B14874" w14:textId="77777777" w:rsidR="00726496" w:rsidRPr="002D7748" w:rsidRDefault="00726496" w:rsidP="00726496">
            <w:pPr>
              <w:spacing w:after="80"/>
            </w:pPr>
            <w:r w:rsidRPr="002D7748">
              <w:t>Section _.8</w:t>
            </w:r>
          </w:p>
        </w:tc>
      </w:tr>
      <w:tr w:rsidR="00726496" w:rsidRPr="00B9669B" w14:paraId="524B78EC" w14:textId="77777777" w:rsidTr="004955A0">
        <w:trPr>
          <w:cantSplit/>
        </w:trPr>
        <w:tc>
          <w:tcPr>
            <w:tcW w:w="8478" w:type="dxa"/>
          </w:tcPr>
          <w:p w14:paraId="0D5D84F4" w14:textId="77777777" w:rsidR="00726496" w:rsidRPr="00B9669B" w:rsidRDefault="00726496" w:rsidP="00726496">
            <w:pPr>
              <w:autoSpaceDE w:val="0"/>
              <w:autoSpaceDN w:val="0"/>
              <w:adjustRightInd w:val="0"/>
              <w:spacing w:before="0" w:after="80"/>
              <w:rPr>
                <w:szCs w:val="24"/>
              </w:rPr>
            </w:pPr>
            <w:r w:rsidRPr="00B9669B">
              <w:rPr>
                <w:u w:val="single"/>
              </w:rPr>
              <w:lastRenderedPageBreak/>
              <w:t>Source Documents.</w:t>
            </w:r>
            <w:r w:rsidRPr="00B9669B">
              <w:t xml:space="preserve">  Documentation received from counterparties of transactions.  Source documents should not be internal documents unless the transaction is purely internal.</w:t>
            </w:r>
          </w:p>
        </w:tc>
        <w:tc>
          <w:tcPr>
            <w:tcW w:w="1440" w:type="dxa"/>
          </w:tcPr>
          <w:p w14:paraId="57C2412E" w14:textId="77777777" w:rsidR="00726496" w:rsidRPr="002D7748" w:rsidRDefault="00726496" w:rsidP="00726496">
            <w:pPr>
              <w:spacing w:after="80"/>
            </w:pPr>
            <w:r w:rsidRPr="002D7748">
              <w:t>General</w:t>
            </w:r>
          </w:p>
        </w:tc>
      </w:tr>
      <w:tr w:rsidR="00726496" w:rsidRPr="00B9669B" w14:paraId="6F3DFCD6" w14:textId="77777777" w:rsidTr="004955A0">
        <w:trPr>
          <w:cantSplit/>
        </w:trPr>
        <w:tc>
          <w:tcPr>
            <w:tcW w:w="8478" w:type="dxa"/>
          </w:tcPr>
          <w:p w14:paraId="346ACF33" w14:textId="77777777" w:rsidR="00726496" w:rsidRPr="00B9669B" w:rsidRDefault="00726496" w:rsidP="00726496">
            <w:r w:rsidRPr="00B9669B">
              <w:rPr>
                <w:u w:val="single"/>
              </w:rPr>
              <w:t>Special Termination Benefits</w:t>
            </w:r>
            <w:r w:rsidRPr="00B9669B">
              <w:t xml:space="preserve">.  Benefits provided by the agency to employees as an incentive for voluntary early termination or as a severance package for involuntary early termination.  </w:t>
            </w:r>
          </w:p>
        </w:tc>
        <w:tc>
          <w:tcPr>
            <w:tcW w:w="1440" w:type="dxa"/>
          </w:tcPr>
          <w:p w14:paraId="009BACBA" w14:textId="77777777" w:rsidR="00726496" w:rsidRPr="002D7748" w:rsidRDefault="00726496" w:rsidP="00726496">
            <w:pPr>
              <w:spacing w:after="80"/>
            </w:pPr>
            <w:r w:rsidRPr="002D7748">
              <w:t>General</w:t>
            </w:r>
          </w:p>
        </w:tc>
      </w:tr>
      <w:tr w:rsidR="00726496" w:rsidRPr="00B9669B" w14:paraId="55565184" w14:textId="77777777" w:rsidTr="004955A0">
        <w:trPr>
          <w:cantSplit/>
        </w:trPr>
        <w:tc>
          <w:tcPr>
            <w:tcW w:w="8478" w:type="dxa"/>
          </w:tcPr>
          <w:p w14:paraId="38199076" w14:textId="77777777" w:rsidR="00726496" w:rsidRPr="00B9669B" w:rsidRDefault="00726496" w:rsidP="00726496">
            <w:r w:rsidRPr="00B9669B">
              <w:rPr>
                <w:u w:val="single"/>
              </w:rPr>
              <w:t>Specific Identification</w:t>
            </w:r>
            <w:r w:rsidRPr="00B9669B">
              <w:t xml:space="preserve">.  An inventory valuation method matching specific units of inventory with specific purchase invoices.  Typically used for low inventory volume with high inventory item value.  </w:t>
            </w:r>
          </w:p>
        </w:tc>
        <w:tc>
          <w:tcPr>
            <w:tcW w:w="1440" w:type="dxa"/>
          </w:tcPr>
          <w:p w14:paraId="47C7C17A" w14:textId="77777777" w:rsidR="00726496" w:rsidRPr="002D7748" w:rsidRDefault="00726496" w:rsidP="00726496">
            <w:pPr>
              <w:spacing w:after="80"/>
            </w:pPr>
            <w:r w:rsidRPr="002D7748">
              <w:t>Section _.6</w:t>
            </w:r>
          </w:p>
        </w:tc>
      </w:tr>
      <w:tr w:rsidR="00726496" w:rsidRPr="00B9669B" w14:paraId="0508413C" w14:textId="77777777" w:rsidTr="004955A0">
        <w:trPr>
          <w:cantSplit/>
        </w:trPr>
        <w:tc>
          <w:tcPr>
            <w:tcW w:w="8478" w:type="dxa"/>
          </w:tcPr>
          <w:p w14:paraId="6B8219E1" w14:textId="77777777" w:rsidR="00726496" w:rsidRPr="00B9669B" w:rsidRDefault="00726496" w:rsidP="00726496">
            <w:r w:rsidRPr="00B9669B">
              <w:rPr>
                <w:u w:val="single"/>
              </w:rPr>
              <w:t>State Employee Leave</w:t>
            </w:r>
            <w:r w:rsidRPr="00B9669B">
              <w:rPr>
                <w:u w:val="single"/>
              </w:rPr>
              <w:noBreakHyphen/>
              <w:t>Transfer Program</w:t>
            </w:r>
            <w:r w:rsidRPr="00B9669B">
              <w:t xml:space="preserve">.  </w:t>
            </w:r>
            <w:proofErr w:type="gramStart"/>
            <w:r w:rsidRPr="00B9669B">
              <w:t>Sections  8</w:t>
            </w:r>
            <w:proofErr w:type="gramEnd"/>
            <w:r w:rsidRPr="00B9669B">
              <w:noBreakHyphen/>
              <w:t>11</w:t>
            </w:r>
            <w:r w:rsidRPr="00B9669B">
              <w:noBreakHyphen/>
              <w:t>700 through 8</w:t>
            </w:r>
            <w:r w:rsidRPr="00B9669B">
              <w:noBreakHyphen/>
              <w:t>11</w:t>
            </w:r>
            <w:r w:rsidRPr="00B9669B">
              <w:noBreakHyphen/>
              <w:t xml:space="preserve">770 of the South Carolina Code of Laws established a leave transfer program under which employees of an agency who have a personal emergency and have used all of their annual and sick leave may use annual or sick leave transferred to a "pool leave account" by other employees of that agency.  </w:t>
            </w:r>
          </w:p>
        </w:tc>
        <w:tc>
          <w:tcPr>
            <w:tcW w:w="1440" w:type="dxa"/>
          </w:tcPr>
          <w:p w14:paraId="7927C046" w14:textId="77777777" w:rsidR="00726496" w:rsidRPr="002D7748" w:rsidRDefault="00726496" w:rsidP="00726496">
            <w:pPr>
              <w:spacing w:after="80"/>
            </w:pPr>
            <w:r w:rsidRPr="002D7748">
              <w:t>Section _.17</w:t>
            </w:r>
          </w:p>
        </w:tc>
      </w:tr>
      <w:tr w:rsidR="00726496" w:rsidRPr="00B9669B" w14:paraId="5528F763" w14:textId="77777777" w:rsidTr="004955A0">
        <w:trPr>
          <w:cantSplit/>
        </w:trPr>
        <w:tc>
          <w:tcPr>
            <w:tcW w:w="8478" w:type="dxa"/>
          </w:tcPr>
          <w:p w14:paraId="28BB3B64" w14:textId="77777777" w:rsidR="00726496" w:rsidRPr="00F54DE6" w:rsidRDefault="00726496" w:rsidP="007264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Cs w:val="24"/>
              </w:rPr>
            </w:pPr>
            <w:r w:rsidRPr="00F54DE6">
              <w:rPr>
                <w:szCs w:val="24"/>
                <w:u w:val="single"/>
              </w:rPr>
              <w:t>Straight-Line Depreciation Method.</w:t>
            </w:r>
            <w:r w:rsidRPr="00F54DE6">
              <w:rPr>
                <w:szCs w:val="24"/>
              </w:rPr>
              <w:t xml:space="preserve">  A method of allocating the consumption of the value of an asset evenly over the estimated useful life.  Steps to calculate:</w:t>
            </w:r>
          </w:p>
          <w:p w14:paraId="31E245B1" w14:textId="77777777" w:rsidR="00726496" w:rsidRPr="00F54DE6" w:rsidRDefault="00726496" w:rsidP="00726496">
            <w:pPr>
              <w:pStyle w:val="BodyTextIndent"/>
              <w:keepNext/>
              <w:widowControl w:val="0"/>
              <w:numPr>
                <w:ilvl w:val="0"/>
                <w:numId w:val="31"/>
              </w:numPr>
              <w:spacing w:before="0" w:after="0"/>
              <w:ind w:left="618"/>
              <w:jc w:val="both"/>
              <w:rPr>
                <w:b w:val="0"/>
                <w:szCs w:val="24"/>
                <w:u w:val="none"/>
              </w:rPr>
            </w:pPr>
            <w:r w:rsidRPr="00F54DE6">
              <w:rPr>
                <w:b w:val="0"/>
                <w:szCs w:val="24"/>
                <w:u w:val="none"/>
              </w:rPr>
              <w:t xml:space="preserve">Determine the asset's estimated useful life in years.  (See Exhibit 3.8(B) for useful lives of various types of capital assets.)  </w:t>
            </w:r>
          </w:p>
          <w:p w14:paraId="50987363" w14:textId="77777777" w:rsidR="00726496" w:rsidRPr="00F54DE6" w:rsidRDefault="00726496" w:rsidP="00726496">
            <w:pPr>
              <w:pStyle w:val="BodyTextIndent"/>
              <w:keepNext/>
              <w:widowControl w:val="0"/>
              <w:numPr>
                <w:ilvl w:val="0"/>
                <w:numId w:val="31"/>
              </w:numPr>
              <w:spacing w:before="0" w:after="0"/>
              <w:ind w:left="618"/>
              <w:jc w:val="both"/>
              <w:rPr>
                <w:b w:val="0"/>
                <w:szCs w:val="24"/>
                <w:u w:val="none"/>
              </w:rPr>
            </w:pPr>
            <w:r w:rsidRPr="00F54DE6">
              <w:rPr>
                <w:b w:val="0"/>
                <w:szCs w:val="24"/>
                <w:u w:val="none"/>
              </w:rPr>
              <w:t>Determine the difference between:</w:t>
            </w:r>
            <w:r>
              <w:rPr>
                <w:b w:val="0"/>
                <w:szCs w:val="24"/>
                <w:u w:val="none"/>
              </w:rPr>
              <w:tab/>
            </w:r>
            <w:r w:rsidRPr="00F54DE6">
              <w:rPr>
                <w:b w:val="0"/>
                <w:szCs w:val="24"/>
                <w:u w:val="none"/>
              </w:rPr>
              <w:br/>
              <w:t>The asset's book value at acquisition.</w:t>
            </w:r>
            <w:r>
              <w:rPr>
                <w:b w:val="0"/>
                <w:szCs w:val="24"/>
                <w:u w:val="none"/>
              </w:rPr>
              <w:tab/>
            </w:r>
            <w:r w:rsidRPr="00F54DE6">
              <w:rPr>
                <w:b w:val="0"/>
                <w:szCs w:val="24"/>
                <w:u w:val="none"/>
              </w:rPr>
              <w:br/>
              <w:t>The asset's expected salvage value (only if substantial) at the end of its useful life.</w:t>
            </w:r>
          </w:p>
          <w:p w14:paraId="038F7FE0" w14:textId="77777777" w:rsidR="00726496" w:rsidRPr="00B9669B" w:rsidRDefault="00726496" w:rsidP="00726496">
            <w:r w:rsidRPr="00F54DE6">
              <w:rPr>
                <w:b/>
                <w:szCs w:val="24"/>
              </w:rPr>
              <w:t>Divide this difference by the years of estimated useful life.  Record this amount of depreciation during each fiscal year of the asset's estimated useful life.</w:t>
            </w:r>
          </w:p>
        </w:tc>
        <w:tc>
          <w:tcPr>
            <w:tcW w:w="1440" w:type="dxa"/>
          </w:tcPr>
          <w:p w14:paraId="33295EDC" w14:textId="77777777" w:rsidR="00726496" w:rsidRPr="002D7748" w:rsidRDefault="00726496" w:rsidP="00726496">
            <w:pPr>
              <w:spacing w:after="80"/>
            </w:pPr>
            <w:r w:rsidRPr="002D7748">
              <w:t>Section _.8</w:t>
            </w:r>
          </w:p>
        </w:tc>
      </w:tr>
      <w:tr w:rsidR="00726496" w:rsidRPr="00B9669B" w14:paraId="0DF75B6C" w14:textId="77777777" w:rsidTr="004955A0">
        <w:trPr>
          <w:cantSplit/>
        </w:trPr>
        <w:tc>
          <w:tcPr>
            <w:tcW w:w="8478" w:type="dxa"/>
          </w:tcPr>
          <w:p w14:paraId="1FA76629" w14:textId="77777777" w:rsidR="00726496" w:rsidRDefault="00726496" w:rsidP="00726496">
            <w:pPr>
              <w:spacing w:after="20"/>
              <w:rPr>
                <w:szCs w:val="24"/>
              </w:rPr>
            </w:pPr>
            <w:r w:rsidRPr="00B9669B">
              <w:rPr>
                <w:szCs w:val="24"/>
                <w:u w:val="single"/>
              </w:rPr>
              <w:t>Subsequent Event</w:t>
            </w:r>
            <w:r w:rsidRPr="00B9669B">
              <w:rPr>
                <w:szCs w:val="24"/>
              </w:rPr>
              <w:t>.  Events or transactions that</w:t>
            </w:r>
            <w:r>
              <w:rPr>
                <w:szCs w:val="24"/>
              </w:rPr>
              <w:t xml:space="preserve"> both</w:t>
            </w:r>
            <w:r w:rsidRPr="00B9669B">
              <w:rPr>
                <w:szCs w:val="24"/>
              </w:rPr>
              <w:t>:</w:t>
            </w:r>
          </w:p>
          <w:p w14:paraId="31107FCC" w14:textId="77777777" w:rsidR="00A055E9" w:rsidRDefault="00726496" w:rsidP="00A055E9">
            <w:pPr>
              <w:pStyle w:val="ListParagraph"/>
              <w:numPr>
                <w:ilvl w:val="0"/>
                <w:numId w:val="39"/>
              </w:numPr>
              <w:spacing w:before="20" w:after="20"/>
              <w:ind w:left="706" w:hanging="346"/>
              <w:rPr>
                <w:szCs w:val="24"/>
              </w:rPr>
            </w:pPr>
            <w:r w:rsidRPr="00A2453B">
              <w:rPr>
                <w:szCs w:val="24"/>
              </w:rPr>
              <w:t>Occur after June 30 but before the State issues its financial statements.</w:t>
            </w:r>
          </w:p>
          <w:p w14:paraId="4AC5D965" w14:textId="1B0BDC56" w:rsidR="00726496" w:rsidRPr="00A055E9" w:rsidRDefault="00726496" w:rsidP="00A055E9">
            <w:pPr>
              <w:pStyle w:val="ListParagraph"/>
              <w:numPr>
                <w:ilvl w:val="0"/>
                <w:numId w:val="39"/>
              </w:numPr>
              <w:spacing w:before="20" w:after="20"/>
              <w:ind w:left="706" w:hanging="346"/>
              <w:rPr>
                <w:szCs w:val="24"/>
              </w:rPr>
            </w:pPr>
            <w:r w:rsidRPr="00A055E9">
              <w:rPr>
                <w:szCs w:val="24"/>
              </w:rPr>
              <w:t>Have a material effect on the statements and/or the auditor's report.</w:t>
            </w:r>
          </w:p>
        </w:tc>
        <w:tc>
          <w:tcPr>
            <w:tcW w:w="1440" w:type="dxa"/>
          </w:tcPr>
          <w:p w14:paraId="2331D521" w14:textId="77777777" w:rsidR="00726496" w:rsidRDefault="00726496" w:rsidP="00726496">
            <w:pPr>
              <w:spacing w:after="80"/>
            </w:pPr>
            <w:r>
              <w:t>General</w:t>
            </w:r>
          </w:p>
          <w:p w14:paraId="49CA19DF" w14:textId="77777777" w:rsidR="00726496" w:rsidRDefault="00726496" w:rsidP="00726496">
            <w:pPr>
              <w:spacing w:before="40" w:after="80"/>
            </w:pPr>
            <w:r w:rsidRPr="002D7748">
              <w:t>Section _.13</w:t>
            </w:r>
          </w:p>
          <w:p w14:paraId="694F5368" w14:textId="77777777" w:rsidR="00726496" w:rsidRDefault="00726496" w:rsidP="00726496">
            <w:pPr>
              <w:spacing w:before="40" w:after="80"/>
            </w:pPr>
            <w:r w:rsidRPr="002D7748">
              <w:t>Section _.14</w:t>
            </w:r>
          </w:p>
          <w:p w14:paraId="233F9CFE" w14:textId="77777777" w:rsidR="00726496" w:rsidRDefault="00726496" w:rsidP="00726496">
            <w:pPr>
              <w:spacing w:before="40" w:after="80"/>
            </w:pPr>
            <w:r w:rsidRPr="002D7748">
              <w:t>Section _.15</w:t>
            </w:r>
          </w:p>
          <w:p w14:paraId="5A767871" w14:textId="77777777" w:rsidR="00726496" w:rsidRPr="002D7748" w:rsidRDefault="00726496" w:rsidP="00726496">
            <w:pPr>
              <w:spacing w:after="80"/>
            </w:pPr>
            <w:r w:rsidRPr="002D7748">
              <w:t>Section _.16</w:t>
            </w:r>
          </w:p>
        </w:tc>
      </w:tr>
      <w:tr w:rsidR="00726496" w:rsidRPr="00B9669B" w14:paraId="7543B2F9" w14:textId="77777777" w:rsidTr="004955A0">
        <w:trPr>
          <w:cantSplit/>
        </w:trPr>
        <w:tc>
          <w:tcPr>
            <w:tcW w:w="8478" w:type="dxa"/>
          </w:tcPr>
          <w:p w14:paraId="657B05F0" w14:textId="26B53B38" w:rsidR="00726496" w:rsidRPr="00A055E9" w:rsidRDefault="00726496" w:rsidP="00A055E9">
            <w:pPr>
              <w:spacing w:after="20"/>
              <w:rPr>
                <w:szCs w:val="24"/>
              </w:rPr>
            </w:pPr>
            <w:r w:rsidRPr="00A055E9">
              <w:rPr>
                <w:szCs w:val="24"/>
                <w:u w:val="single"/>
              </w:rPr>
              <w:lastRenderedPageBreak/>
              <w:t>Subsequent Period</w:t>
            </w:r>
            <w:r w:rsidRPr="00A055E9">
              <w:rPr>
                <w:szCs w:val="24"/>
              </w:rPr>
              <w:t xml:space="preserve">.  The time after June 30 but before the State issues its financial statements.  The State plans to issue its financial statements by </w:t>
            </w:r>
            <w:proofErr w:type="spellStart"/>
            <w:proofErr w:type="gramStart"/>
            <w:r w:rsidRPr="00A055E9">
              <w:rPr>
                <w:szCs w:val="24"/>
              </w:rPr>
              <w:t>mid  November</w:t>
            </w:r>
            <w:proofErr w:type="spellEnd"/>
            <w:proofErr w:type="gramEnd"/>
            <w:r w:rsidRPr="00A055E9">
              <w:rPr>
                <w:szCs w:val="24"/>
              </w:rPr>
              <w:t>.  For practical purposes, therefore, the subsequent period is between July 1 and November 30.  Governments must disclose on their financial statements any material events that occur during the subsequent period.</w:t>
            </w:r>
          </w:p>
        </w:tc>
        <w:tc>
          <w:tcPr>
            <w:tcW w:w="1440" w:type="dxa"/>
          </w:tcPr>
          <w:p w14:paraId="3B9FC1DF" w14:textId="77777777" w:rsidR="00726496" w:rsidRDefault="00726496" w:rsidP="00726496">
            <w:pPr>
              <w:spacing w:after="80"/>
            </w:pPr>
            <w:r w:rsidRPr="002D7748">
              <w:t>Section _.13</w:t>
            </w:r>
          </w:p>
          <w:p w14:paraId="7ADD6140" w14:textId="77777777" w:rsidR="00726496" w:rsidRDefault="00726496" w:rsidP="00726496">
            <w:pPr>
              <w:keepLines/>
              <w:spacing w:before="40" w:after="80"/>
            </w:pPr>
            <w:r w:rsidRPr="002D7748">
              <w:t>Section _.14</w:t>
            </w:r>
          </w:p>
          <w:p w14:paraId="19E8BAE8" w14:textId="77777777" w:rsidR="00726496" w:rsidRDefault="00726496" w:rsidP="00726496">
            <w:pPr>
              <w:keepLines/>
              <w:spacing w:before="40" w:after="80"/>
            </w:pPr>
            <w:r w:rsidRPr="002D7748">
              <w:t>Section _.15</w:t>
            </w:r>
          </w:p>
          <w:p w14:paraId="10570411" w14:textId="77777777" w:rsidR="00726496" w:rsidRPr="002D7748" w:rsidRDefault="00726496" w:rsidP="00726496">
            <w:pPr>
              <w:spacing w:before="40" w:after="80"/>
              <w:rPr>
                <w:szCs w:val="24"/>
              </w:rPr>
            </w:pPr>
            <w:r w:rsidRPr="002D7748">
              <w:t>Section _.16</w:t>
            </w:r>
          </w:p>
        </w:tc>
      </w:tr>
      <w:tr w:rsidR="00726496" w:rsidRPr="00B9669B" w14:paraId="54BD62A3" w14:textId="77777777" w:rsidTr="004955A0">
        <w:trPr>
          <w:cantSplit/>
        </w:trPr>
        <w:tc>
          <w:tcPr>
            <w:tcW w:w="8478" w:type="dxa"/>
          </w:tcPr>
          <w:p w14:paraId="1B490DCF" w14:textId="77777777" w:rsidR="00726496" w:rsidRDefault="00726496" w:rsidP="00726496">
            <w:pPr>
              <w:keepLines/>
            </w:pPr>
            <w:r>
              <w:rPr>
                <w:u w:val="single"/>
              </w:rPr>
              <w:t xml:space="preserve">Substantially Complete (Construction of Capital Assets) </w:t>
            </w:r>
            <w:r w:rsidR="00A93DD1">
              <w:rPr>
                <w:u w:val="single"/>
              </w:rPr>
              <w:t>–</w:t>
            </w:r>
            <w:r>
              <w:t xml:space="preserve"> </w:t>
            </w:r>
            <w:r w:rsidR="00A93DD1">
              <w:t>The point at which the asset being constructed is ready and available for its intended use, which may or may not occur prior to the project being 100% complete. Small components, cosmetic work, and/or “punch list” items may still need to be completed, but the project is sufficiently complete to allow for use or occupancy of the asset for its intended use without undue interference.</w:t>
            </w:r>
            <w:r w:rsidRPr="003C1E75">
              <w:t xml:space="preserve"> </w:t>
            </w:r>
          </w:p>
          <w:p w14:paraId="669C017D" w14:textId="30AFF28B" w:rsidR="00387275" w:rsidRDefault="00387275" w:rsidP="00387275">
            <w:r>
              <w:rPr>
                <w:b/>
                <w:bCs/>
                <w:u w:val="single"/>
              </w:rPr>
              <w:t>A</w:t>
            </w:r>
            <w:r w:rsidRPr="008223E4">
              <w:rPr>
                <w:b/>
                <w:bCs/>
                <w:u w:val="single"/>
              </w:rPr>
              <w:t>ll</w:t>
            </w:r>
            <w:r w:rsidRPr="008223E4">
              <w:t xml:space="preserve"> </w:t>
            </w:r>
            <w:r>
              <w:t xml:space="preserve">assets under construction (AUC) should be moved from the AUC asset class to their final asset class when the asset </w:t>
            </w:r>
            <w:r>
              <w:rPr>
                <w:b/>
                <w:bCs/>
              </w:rPr>
              <w:t>is ready and available for its intended use</w:t>
            </w:r>
            <w:r>
              <w:t xml:space="preserve">. If this occurs before the project is complete, any remaining project expenditures for the project should be expensed (i.e., not added to the final value of the asset). </w:t>
            </w:r>
          </w:p>
          <w:p w14:paraId="09F216D1" w14:textId="77777777" w:rsidR="00387275" w:rsidRDefault="00387275" w:rsidP="00387275">
            <w:r>
              <w:t xml:space="preserve">If the asset is ready and available for its intended use, but the project is not yet complete, agencies may elect to wait until the project is 100% complete before moving the asset from AUC if </w:t>
            </w:r>
            <w:r>
              <w:rPr>
                <w:b/>
                <w:bCs/>
              </w:rPr>
              <w:t xml:space="preserve">both </w:t>
            </w:r>
            <w:r>
              <w:t xml:space="preserve">of the following are true: </w:t>
            </w:r>
          </w:p>
          <w:p w14:paraId="276213D0" w14:textId="77777777" w:rsidR="00387275" w:rsidRDefault="00387275" w:rsidP="00C45492">
            <w:pPr>
              <w:pStyle w:val="ListParagraph"/>
              <w:numPr>
                <w:ilvl w:val="0"/>
                <w:numId w:val="57"/>
              </w:numPr>
              <w:spacing w:before="0" w:after="0"/>
              <w:contextualSpacing w:val="0"/>
              <w:jc w:val="left"/>
            </w:pPr>
            <w:r>
              <w:t xml:space="preserve">The remaining project expenditures do not exceed 10% of the project total </w:t>
            </w:r>
            <w:r>
              <w:rPr>
                <w:b/>
                <w:bCs/>
                <w:u w:val="single"/>
              </w:rPr>
              <w:t>or</w:t>
            </w:r>
            <w:r>
              <w:t xml:space="preserve"> $100,000, whichever is less AND</w:t>
            </w:r>
          </w:p>
          <w:p w14:paraId="4419E478" w14:textId="77777777" w:rsidR="00A93DD1" w:rsidRDefault="00387275" w:rsidP="00C45492">
            <w:pPr>
              <w:pStyle w:val="ListParagraph"/>
              <w:numPr>
                <w:ilvl w:val="0"/>
                <w:numId w:val="57"/>
              </w:numPr>
              <w:spacing w:before="0" w:after="0"/>
              <w:contextualSpacing w:val="0"/>
              <w:jc w:val="left"/>
            </w:pPr>
            <w:r>
              <w:t xml:space="preserve">The project will be completed in 3 months or less from the date the asset became ready and available for its intended use. </w:t>
            </w:r>
          </w:p>
          <w:p w14:paraId="29A366F8" w14:textId="5335E1F2" w:rsidR="00387275" w:rsidRPr="00387275" w:rsidRDefault="00387275" w:rsidP="00387275">
            <w:pPr>
              <w:pStyle w:val="ListParagraph"/>
              <w:spacing w:before="0" w:after="0"/>
              <w:contextualSpacing w:val="0"/>
              <w:jc w:val="left"/>
              <w:rPr>
                <w:sz w:val="16"/>
                <w:szCs w:val="16"/>
              </w:rPr>
            </w:pPr>
          </w:p>
        </w:tc>
        <w:tc>
          <w:tcPr>
            <w:tcW w:w="1440" w:type="dxa"/>
          </w:tcPr>
          <w:p w14:paraId="7CB206D7" w14:textId="2CF52D35" w:rsidR="00726496" w:rsidRPr="002D7748" w:rsidRDefault="00726496" w:rsidP="00726496">
            <w:pPr>
              <w:keepLines/>
              <w:spacing w:before="40" w:after="80"/>
            </w:pPr>
            <w:r>
              <w:t>Section_.8</w:t>
            </w:r>
          </w:p>
        </w:tc>
      </w:tr>
      <w:tr w:rsidR="00726496" w:rsidRPr="00B9669B" w14:paraId="4DD343E8" w14:textId="77777777" w:rsidTr="004955A0">
        <w:trPr>
          <w:cantSplit/>
        </w:trPr>
        <w:tc>
          <w:tcPr>
            <w:tcW w:w="8478" w:type="dxa"/>
          </w:tcPr>
          <w:p w14:paraId="41360081" w14:textId="77777777" w:rsidR="00726496" w:rsidRPr="00B9669B" w:rsidRDefault="00726496" w:rsidP="00726496">
            <w:pPr>
              <w:keepLines/>
              <w:rPr>
                <w:szCs w:val="24"/>
              </w:rPr>
            </w:pPr>
            <w:r w:rsidRPr="00B9669B">
              <w:rPr>
                <w:u w:val="single"/>
              </w:rPr>
              <w:t>Supply Inventory</w:t>
            </w:r>
            <w:r w:rsidRPr="00B9669B">
              <w:t xml:space="preserve">.  Inventory items purchased for use during operations of the organization.  </w:t>
            </w:r>
          </w:p>
        </w:tc>
        <w:tc>
          <w:tcPr>
            <w:tcW w:w="1440" w:type="dxa"/>
          </w:tcPr>
          <w:p w14:paraId="4FBE2D0E" w14:textId="77777777" w:rsidR="00726496" w:rsidRPr="002D7748" w:rsidRDefault="00726496" w:rsidP="00726496">
            <w:pPr>
              <w:keepLines/>
              <w:spacing w:before="40" w:after="80"/>
              <w:rPr>
                <w:szCs w:val="24"/>
              </w:rPr>
            </w:pPr>
            <w:r w:rsidRPr="002D7748">
              <w:t>Section _.6</w:t>
            </w:r>
          </w:p>
        </w:tc>
      </w:tr>
      <w:tr w:rsidR="00726496" w:rsidRPr="00B9669B" w14:paraId="3E105989" w14:textId="77777777" w:rsidTr="004955A0">
        <w:trPr>
          <w:cantSplit/>
        </w:trPr>
        <w:tc>
          <w:tcPr>
            <w:tcW w:w="8478" w:type="dxa"/>
          </w:tcPr>
          <w:p w14:paraId="3CE1029C" w14:textId="77777777" w:rsidR="00726496" w:rsidRPr="00B9669B" w:rsidRDefault="00726496" w:rsidP="00726496">
            <w:r w:rsidRPr="00B9669B">
              <w:rPr>
                <w:szCs w:val="24"/>
                <w:u w:val="single"/>
              </w:rPr>
              <w:t>Tax Refunds Payable</w:t>
            </w:r>
            <w:r w:rsidRPr="00B9669B">
              <w:rPr>
                <w:szCs w:val="24"/>
              </w:rPr>
              <w:t xml:space="preserve">.  A liability </w:t>
            </w:r>
            <w:r w:rsidRPr="00B9669B">
              <w:t xml:space="preserve">(see definition </w:t>
            </w:r>
            <w:r>
              <w:t>provided in this glossary</w:t>
            </w:r>
            <w:r w:rsidRPr="00B9669B">
              <w:t>)</w:t>
            </w:r>
            <w:r w:rsidRPr="00B9669B">
              <w:rPr>
                <w:szCs w:val="24"/>
              </w:rPr>
              <w:t xml:space="preserve"> representing amounts collected </w:t>
            </w:r>
            <w:proofErr w:type="gramStart"/>
            <w:r w:rsidRPr="00B9669B">
              <w:rPr>
                <w:szCs w:val="24"/>
              </w:rPr>
              <w:t>in excess of</w:t>
            </w:r>
            <w:proofErr w:type="gramEnd"/>
            <w:r w:rsidRPr="00B9669B">
              <w:rPr>
                <w:szCs w:val="24"/>
              </w:rPr>
              <w:t xml:space="preserve"> taxes owed by the taxpayer.  Disbursement of the refund is expected to be processed after June 30.  </w:t>
            </w:r>
          </w:p>
        </w:tc>
        <w:tc>
          <w:tcPr>
            <w:tcW w:w="1440" w:type="dxa"/>
          </w:tcPr>
          <w:p w14:paraId="1F2DE0A8" w14:textId="77777777" w:rsidR="00726496" w:rsidRPr="002D7748" w:rsidRDefault="00726496" w:rsidP="00726496">
            <w:pPr>
              <w:spacing w:after="80"/>
            </w:pPr>
            <w:r w:rsidRPr="002D7748">
              <w:t>Section _.2</w:t>
            </w:r>
          </w:p>
        </w:tc>
      </w:tr>
      <w:tr w:rsidR="00726496" w:rsidRPr="00B9669B" w14:paraId="7CA64412" w14:textId="77777777" w:rsidTr="004955A0">
        <w:trPr>
          <w:cantSplit/>
        </w:trPr>
        <w:tc>
          <w:tcPr>
            <w:tcW w:w="8478" w:type="dxa"/>
          </w:tcPr>
          <w:p w14:paraId="1447A1B5" w14:textId="77777777" w:rsidR="00726496" w:rsidRPr="00B9669B" w:rsidRDefault="00726496" w:rsidP="00726496">
            <w:pPr>
              <w:rPr>
                <w:szCs w:val="24"/>
              </w:rPr>
            </w:pPr>
            <w:r w:rsidRPr="00B9669B">
              <w:rPr>
                <w:u w:val="single"/>
              </w:rPr>
              <w:t>Tax Revenues</w:t>
            </w:r>
            <w:r w:rsidRPr="00B9669B">
              <w:t xml:space="preserve">.  Amounts assessed on certain transactions entered by non-State parties or assets owned by non-State parties. </w:t>
            </w:r>
          </w:p>
        </w:tc>
        <w:tc>
          <w:tcPr>
            <w:tcW w:w="1440" w:type="dxa"/>
          </w:tcPr>
          <w:p w14:paraId="1B13546E" w14:textId="77777777" w:rsidR="00726496" w:rsidRDefault="00726496" w:rsidP="00726496">
            <w:pPr>
              <w:spacing w:after="80"/>
            </w:pPr>
            <w:r w:rsidRPr="002D7748">
              <w:t>General</w:t>
            </w:r>
          </w:p>
          <w:p w14:paraId="4F9AB1DD" w14:textId="77777777" w:rsidR="00726496" w:rsidRPr="002D7748" w:rsidRDefault="00726496" w:rsidP="00726496">
            <w:pPr>
              <w:spacing w:after="80"/>
            </w:pPr>
            <w:r w:rsidRPr="002D7748">
              <w:t>Section _.2</w:t>
            </w:r>
          </w:p>
        </w:tc>
      </w:tr>
      <w:tr w:rsidR="00726496" w:rsidRPr="00B9669B" w14:paraId="76A13262" w14:textId="77777777" w:rsidTr="004955A0">
        <w:trPr>
          <w:cantSplit/>
        </w:trPr>
        <w:tc>
          <w:tcPr>
            <w:tcW w:w="8478" w:type="dxa"/>
          </w:tcPr>
          <w:p w14:paraId="118E701C" w14:textId="77777777" w:rsidR="00726496" w:rsidRPr="00B9669B" w:rsidRDefault="00726496" w:rsidP="00726496">
            <w:r w:rsidRPr="00B9669B">
              <w:rPr>
                <w:szCs w:val="24"/>
                <w:u w:val="single"/>
              </w:rPr>
              <w:t>Taxes Receivable</w:t>
            </w:r>
            <w:r w:rsidRPr="00B9669B">
              <w:rPr>
                <w:szCs w:val="24"/>
              </w:rPr>
              <w:t xml:space="preserve">.  Tax payments that parties outside State government owe the State </w:t>
            </w:r>
            <w:proofErr w:type="gramStart"/>
            <w:r w:rsidRPr="00B9669B">
              <w:rPr>
                <w:szCs w:val="24"/>
              </w:rPr>
              <w:t>at</w:t>
            </w:r>
            <w:proofErr w:type="gramEnd"/>
            <w:r w:rsidRPr="00B9669B">
              <w:rPr>
                <w:szCs w:val="24"/>
              </w:rPr>
              <w:t xml:space="preserve"> June 30.  Recognition of the receivable is discussed in detail in the Accounting Policies and Procedures above.  </w:t>
            </w:r>
          </w:p>
        </w:tc>
        <w:tc>
          <w:tcPr>
            <w:tcW w:w="1440" w:type="dxa"/>
          </w:tcPr>
          <w:p w14:paraId="206FA888" w14:textId="77777777" w:rsidR="00726496" w:rsidRPr="002D7748" w:rsidRDefault="00726496" w:rsidP="00726496">
            <w:pPr>
              <w:spacing w:before="40" w:after="80"/>
            </w:pPr>
            <w:r w:rsidRPr="002D7748">
              <w:t>Section _.2</w:t>
            </w:r>
          </w:p>
        </w:tc>
      </w:tr>
      <w:tr w:rsidR="00726496" w:rsidRPr="00B9669B" w14:paraId="1EBA2615" w14:textId="77777777" w:rsidTr="004955A0">
        <w:trPr>
          <w:cantSplit/>
        </w:trPr>
        <w:tc>
          <w:tcPr>
            <w:tcW w:w="8478" w:type="dxa"/>
          </w:tcPr>
          <w:p w14:paraId="2116D6A9" w14:textId="77777777" w:rsidR="00726496" w:rsidRDefault="00726496" w:rsidP="00726496">
            <w:pPr>
              <w:rPr>
                <w:szCs w:val="24"/>
              </w:rPr>
            </w:pPr>
            <w:r w:rsidRPr="00B9669B">
              <w:rPr>
                <w:u w:val="single"/>
              </w:rPr>
              <w:lastRenderedPageBreak/>
              <w:t>Test Count</w:t>
            </w:r>
            <w:r w:rsidRPr="00B9669B">
              <w:t xml:space="preserve">.  A monitoring control requiring the observation and testing of inventory physical count by an independent entity.  </w:t>
            </w:r>
          </w:p>
        </w:tc>
        <w:tc>
          <w:tcPr>
            <w:tcW w:w="1440" w:type="dxa"/>
          </w:tcPr>
          <w:p w14:paraId="0435CB05" w14:textId="77777777" w:rsidR="00726496" w:rsidRPr="002D7748" w:rsidRDefault="00726496" w:rsidP="00726496">
            <w:pPr>
              <w:spacing w:after="80"/>
            </w:pPr>
            <w:r w:rsidRPr="002D7748">
              <w:t>Section _.6</w:t>
            </w:r>
          </w:p>
        </w:tc>
      </w:tr>
      <w:tr w:rsidR="00726496" w:rsidRPr="00B9669B" w14:paraId="4554BE04" w14:textId="77777777" w:rsidTr="004955A0">
        <w:trPr>
          <w:cantSplit/>
        </w:trPr>
        <w:tc>
          <w:tcPr>
            <w:tcW w:w="8478" w:type="dxa"/>
          </w:tcPr>
          <w:p w14:paraId="6653ADFF" w14:textId="77777777" w:rsidR="00726496" w:rsidRPr="00B9669B" w:rsidRDefault="00726496" w:rsidP="00726496">
            <w:r w:rsidRPr="00B9669B">
              <w:rPr>
                <w:szCs w:val="24"/>
                <w:u w:val="single"/>
              </w:rPr>
              <w:t>Tort</w:t>
            </w:r>
            <w:r w:rsidRPr="00B9669B">
              <w:rPr>
                <w:szCs w:val="24"/>
              </w:rPr>
              <w:t>.  Wrongful acts, injuries or damages—not involving breach of contract—for which a civil action can be brought.</w:t>
            </w:r>
          </w:p>
        </w:tc>
        <w:tc>
          <w:tcPr>
            <w:tcW w:w="1440" w:type="dxa"/>
          </w:tcPr>
          <w:p w14:paraId="3346FC95" w14:textId="77777777" w:rsidR="00726496" w:rsidRPr="002D7748" w:rsidRDefault="00726496" w:rsidP="00726496">
            <w:pPr>
              <w:spacing w:after="80"/>
            </w:pPr>
            <w:r w:rsidRPr="002D7748">
              <w:t>Section _.13</w:t>
            </w:r>
          </w:p>
        </w:tc>
      </w:tr>
      <w:tr w:rsidR="00726496" w:rsidRPr="00B9669B" w14:paraId="7B9F8864" w14:textId="77777777" w:rsidTr="004955A0">
        <w:trPr>
          <w:cantSplit/>
        </w:trPr>
        <w:tc>
          <w:tcPr>
            <w:tcW w:w="8478" w:type="dxa"/>
          </w:tcPr>
          <w:p w14:paraId="5F0A69C8" w14:textId="61FC6FD8" w:rsidR="00726496" w:rsidRPr="00B9669B" w:rsidRDefault="00726496" w:rsidP="00726496">
            <w:pPr>
              <w:rPr>
                <w:szCs w:val="24"/>
              </w:rPr>
            </w:pPr>
            <w:r w:rsidRPr="00B9669B">
              <w:rPr>
                <w:u w:val="single"/>
              </w:rPr>
              <w:t>Unassigned</w:t>
            </w:r>
            <w:r>
              <w:rPr>
                <w:u w:val="single"/>
              </w:rPr>
              <w:t xml:space="preserve"> fund balance</w:t>
            </w:r>
            <w:r w:rsidRPr="00B9669B">
              <w:rPr>
                <w:u w:val="single"/>
              </w:rPr>
              <w:t>.</w:t>
            </w:r>
            <w:r w:rsidRPr="00B9669B">
              <w:t xml:space="preserve">  </w:t>
            </w:r>
            <w:r w:rsidR="00D77C74" w:rsidRPr="00D77C74">
              <w:t>Fund balance that has not been assigned to other funds and has not been restricted, committed, or assigned to specific purposes within the general fund</w:t>
            </w:r>
            <w:r w:rsidR="00D77C74">
              <w:t>; the residual classification for the general fund.</w:t>
            </w:r>
          </w:p>
        </w:tc>
        <w:tc>
          <w:tcPr>
            <w:tcW w:w="1440" w:type="dxa"/>
          </w:tcPr>
          <w:p w14:paraId="2D88FEB1" w14:textId="77777777" w:rsidR="00726496" w:rsidRPr="002D7748" w:rsidRDefault="00726496" w:rsidP="00726496">
            <w:pPr>
              <w:spacing w:after="80"/>
              <w:rPr>
                <w:szCs w:val="24"/>
              </w:rPr>
            </w:pPr>
            <w:r w:rsidRPr="002D7748">
              <w:t>Section _.20</w:t>
            </w:r>
          </w:p>
        </w:tc>
      </w:tr>
      <w:tr w:rsidR="00726496" w:rsidRPr="00B9669B" w14:paraId="7C6E19AC" w14:textId="77777777" w:rsidTr="004955A0">
        <w:trPr>
          <w:cantSplit/>
        </w:trPr>
        <w:tc>
          <w:tcPr>
            <w:tcW w:w="8478" w:type="dxa"/>
          </w:tcPr>
          <w:p w14:paraId="32405818" w14:textId="77777777" w:rsidR="00726496" w:rsidRPr="00B9669B" w:rsidRDefault="00726496" w:rsidP="00726496">
            <w:pPr>
              <w:rPr>
                <w:u w:val="single"/>
              </w:rPr>
            </w:pPr>
            <w:r w:rsidRPr="00B9669B">
              <w:rPr>
                <w:szCs w:val="24"/>
                <w:u w:val="single"/>
              </w:rPr>
              <w:t>Unrestricted Purposes</w:t>
            </w:r>
            <w:r w:rsidRPr="00B9669B">
              <w:rPr>
                <w:szCs w:val="24"/>
              </w:rPr>
              <w:t xml:space="preserve">.  Use of resources for no particular or specified program.  </w:t>
            </w:r>
          </w:p>
        </w:tc>
        <w:tc>
          <w:tcPr>
            <w:tcW w:w="1440" w:type="dxa"/>
          </w:tcPr>
          <w:p w14:paraId="69805C9E" w14:textId="77777777" w:rsidR="00726496" w:rsidRPr="002D7748" w:rsidRDefault="00726496" w:rsidP="00726496">
            <w:pPr>
              <w:spacing w:after="80"/>
            </w:pPr>
            <w:r w:rsidRPr="002D7748">
              <w:t>Section _.3</w:t>
            </w:r>
          </w:p>
        </w:tc>
      </w:tr>
      <w:tr w:rsidR="00726496" w:rsidRPr="00B9669B" w14:paraId="1D913BAF" w14:textId="77777777" w:rsidTr="004955A0">
        <w:trPr>
          <w:cantSplit/>
        </w:trPr>
        <w:tc>
          <w:tcPr>
            <w:tcW w:w="8478" w:type="dxa"/>
          </w:tcPr>
          <w:p w14:paraId="26DBDA7D" w14:textId="77777777" w:rsidR="00726496" w:rsidRPr="00B9669B" w:rsidRDefault="00726496" w:rsidP="00726496">
            <w:pPr>
              <w:spacing w:line="240" w:lineRule="exact"/>
              <w:rPr>
                <w:szCs w:val="24"/>
                <w:u w:val="single"/>
              </w:rPr>
            </w:pPr>
            <w:r w:rsidRPr="00B9669B">
              <w:rPr>
                <w:u w:val="single"/>
              </w:rPr>
              <w:t>Unrestricted</w:t>
            </w:r>
            <w:r>
              <w:rPr>
                <w:u w:val="single"/>
              </w:rPr>
              <w:t xml:space="preserve"> net assets</w:t>
            </w:r>
            <w:r w:rsidRPr="00B9669B">
              <w:t xml:space="preserve">.  No restrictions have been placed on the use of the revenue resources.  </w:t>
            </w:r>
          </w:p>
        </w:tc>
        <w:tc>
          <w:tcPr>
            <w:tcW w:w="1440" w:type="dxa"/>
          </w:tcPr>
          <w:p w14:paraId="5B59C2C1" w14:textId="77777777" w:rsidR="00726496" w:rsidRPr="002D7748" w:rsidRDefault="00726496" w:rsidP="00726496">
            <w:pPr>
              <w:spacing w:after="80"/>
            </w:pPr>
            <w:r w:rsidRPr="002D7748">
              <w:t>Section _.20</w:t>
            </w:r>
          </w:p>
        </w:tc>
      </w:tr>
      <w:tr w:rsidR="00726496" w:rsidRPr="00B9669B" w14:paraId="4E183FCF" w14:textId="77777777" w:rsidTr="004955A0">
        <w:trPr>
          <w:cantSplit/>
        </w:trPr>
        <w:tc>
          <w:tcPr>
            <w:tcW w:w="8478" w:type="dxa"/>
          </w:tcPr>
          <w:p w14:paraId="67AB6CAF" w14:textId="1D754F31" w:rsidR="00726496" w:rsidRPr="00B9669B" w:rsidRDefault="00726496" w:rsidP="00726496">
            <w:r w:rsidRPr="00B9669B">
              <w:rPr>
                <w:szCs w:val="24"/>
                <w:u w:val="single"/>
              </w:rPr>
              <w:t>Vehicles</w:t>
            </w:r>
            <w:r w:rsidRPr="00B9669B">
              <w:rPr>
                <w:szCs w:val="24"/>
              </w:rPr>
              <w:t xml:space="preserve">.  </w:t>
            </w:r>
            <w:r>
              <w:rPr>
                <w:szCs w:val="24"/>
              </w:rPr>
              <w:t xml:space="preserve">A mechanically operated device used for transporting people or goods from one location to another. </w:t>
            </w:r>
            <w:r w:rsidRPr="00B9669B">
              <w:rPr>
                <w:szCs w:val="24"/>
              </w:rPr>
              <w:t xml:space="preserve">Includes all automobiles, trucks, vans, buses, aircraft, boats, trailers, and other vehicles used for operations.  If the main purpose is not transportation on ground, air, </w:t>
            </w:r>
            <w:r>
              <w:rPr>
                <w:szCs w:val="24"/>
              </w:rPr>
              <w:t xml:space="preserve">or </w:t>
            </w:r>
            <w:r w:rsidRPr="00B9669B">
              <w:rPr>
                <w:szCs w:val="24"/>
              </w:rPr>
              <w:t>water (liquid or frozen), it is equipment.</w:t>
            </w:r>
          </w:p>
        </w:tc>
        <w:tc>
          <w:tcPr>
            <w:tcW w:w="1440" w:type="dxa"/>
          </w:tcPr>
          <w:p w14:paraId="367553AF" w14:textId="77777777" w:rsidR="00726496" w:rsidRPr="002D7748" w:rsidRDefault="00726496" w:rsidP="00726496">
            <w:pPr>
              <w:spacing w:after="80"/>
            </w:pPr>
            <w:r w:rsidRPr="002D7748">
              <w:t>Section _.8</w:t>
            </w:r>
          </w:p>
        </w:tc>
      </w:tr>
      <w:tr w:rsidR="00726496" w:rsidRPr="00B9669B" w14:paraId="551DBE45" w14:textId="77777777" w:rsidTr="004955A0">
        <w:trPr>
          <w:cantSplit/>
        </w:trPr>
        <w:tc>
          <w:tcPr>
            <w:tcW w:w="8478" w:type="dxa"/>
          </w:tcPr>
          <w:p w14:paraId="1354BCDF" w14:textId="77777777" w:rsidR="00726496" w:rsidRPr="00B9669B"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69B">
              <w:rPr>
                <w:u w:val="single"/>
              </w:rPr>
              <w:t>Weighted-Average Method.</w:t>
            </w:r>
            <w:r w:rsidRPr="00B9669B">
              <w:t xml:space="preserve">  An inventory valuation method utilizing a mathematical average of unit costs distribution by weight based on the number of units on hand from each invoice for purchase.  </w:t>
            </w:r>
          </w:p>
        </w:tc>
        <w:tc>
          <w:tcPr>
            <w:tcW w:w="1440" w:type="dxa"/>
          </w:tcPr>
          <w:p w14:paraId="34DE743B" w14:textId="77777777" w:rsidR="00726496" w:rsidRPr="002D7748" w:rsidRDefault="00726496" w:rsidP="00726496">
            <w:pPr>
              <w:spacing w:after="80"/>
            </w:pPr>
            <w:r w:rsidRPr="002D7748">
              <w:t>Section _.6</w:t>
            </w:r>
          </w:p>
        </w:tc>
      </w:tr>
      <w:tr w:rsidR="00726496" w:rsidRPr="00B9669B" w14:paraId="6A8EE7DE" w14:textId="77777777" w:rsidTr="004955A0">
        <w:trPr>
          <w:cantSplit/>
        </w:trPr>
        <w:tc>
          <w:tcPr>
            <w:tcW w:w="8478" w:type="dxa"/>
          </w:tcPr>
          <w:p w14:paraId="711937CD" w14:textId="77777777" w:rsidR="00726496" w:rsidRPr="00B9669B" w:rsidRDefault="00726496" w:rsidP="00726496">
            <w:r w:rsidRPr="00B9669B">
              <w:rPr>
                <w:u w:val="single"/>
              </w:rPr>
              <w:t>Working papers</w:t>
            </w:r>
            <w:r w:rsidRPr="00B9669B">
              <w:t>.  Documentation of analysis, theory, consideration, and conclusions for accounting and reporting decisions.  The documentation should be sufficient to communicate the issue, evidence gathered and evaluated, and the conclusions reached to an individual unfamiliar with the daily operations of the agency.</w:t>
            </w:r>
          </w:p>
        </w:tc>
        <w:tc>
          <w:tcPr>
            <w:tcW w:w="1440" w:type="dxa"/>
          </w:tcPr>
          <w:p w14:paraId="6F7EB266" w14:textId="77777777" w:rsidR="00726496" w:rsidRPr="002D7748" w:rsidRDefault="00726496" w:rsidP="00726496">
            <w:pPr>
              <w:spacing w:after="80"/>
            </w:pPr>
            <w:r w:rsidRPr="002D7748">
              <w:t>General</w:t>
            </w:r>
          </w:p>
        </w:tc>
      </w:tr>
      <w:tr w:rsidR="00726496" w:rsidRPr="00B9669B" w14:paraId="296056F6" w14:textId="77777777" w:rsidTr="004955A0">
        <w:trPr>
          <w:cantSplit/>
        </w:trPr>
        <w:tc>
          <w:tcPr>
            <w:tcW w:w="8478" w:type="dxa"/>
          </w:tcPr>
          <w:p w14:paraId="07621062" w14:textId="32C3C94B" w:rsidR="00726496" w:rsidRPr="00B9669B" w:rsidRDefault="00726496" w:rsidP="00726496">
            <w:r w:rsidRPr="00B9669B">
              <w:rPr>
                <w:szCs w:val="24"/>
                <w:u w:val="single"/>
              </w:rPr>
              <w:t>Works of Art and Historical Treasures</w:t>
            </w:r>
            <w:r w:rsidRPr="00B9669B">
              <w:rPr>
                <w:szCs w:val="24"/>
              </w:rPr>
              <w:t xml:space="preserve">.  Individual items or collections of items deemed to be of educational, cultural, or historical value.  The useful life of which may be undeterminable because interest in the objects </w:t>
            </w:r>
            <w:proofErr w:type="gramStart"/>
            <w:r w:rsidRPr="00B9669B">
              <w:rPr>
                <w:szCs w:val="24"/>
              </w:rPr>
              <w:t>are</w:t>
            </w:r>
            <w:proofErr w:type="gramEnd"/>
            <w:r w:rsidRPr="00B9669B">
              <w:rPr>
                <w:szCs w:val="24"/>
              </w:rPr>
              <w:t xml:space="preserve"> expected to continue to be of value to society as a whole.</w:t>
            </w:r>
            <w:r>
              <w:rPr>
                <w:szCs w:val="24"/>
              </w:rPr>
              <w:t xml:space="preserve"> Capitalization is not required for Collections of Works of Art and Historical Treasures in </w:t>
            </w:r>
            <w:r w:rsidRPr="003B02BA">
              <w:rPr>
                <w:b/>
                <w:bCs/>
                <w:szCs w:val="24"/>
              </w:rPr>
              <w:t>certain circumstances</w:t>
            </w:r>
            <w:r>
              <w:rPr>
                <w:szCs w:val="24"/>
              </w:rPr>
              <w:t xml:space="preserve">, see definition for </w:t>
            </w:r>
            <w:r w:rsidRPr="007E1BF8">
              <w:rPr>
                <w:szCs w:val="24"/>
                <w:u w:val="single"/>
              </w:rPr>
              <w:t>Non-Capitalized Collections of Works of Art and Historical Treasures</w:t>
            </w:r>
            <w:r>
              <w:rPr>
                <w:szCs w:val="24"/>
                <w:u w:val="single"/>
              </w:rPr>
              <w:t xml:space="preserve"> in this glossary for more details.</w:t>
            </w:r>
          </w:p>
        </w:tc>
        <w:tc>
          <w:tcPr>
            <w:tcW w:w="1440" w:type="dxa"/>
          </w:tcPr>
          <w:p w14:paraId="581B462F" w14:textId="77777777" w:rsidR="00726496" w:rsidRPr="002D7748" w:rsidRDefault="00726496" w:rsidP="00726496">
            <w:pPr>
              <w:spacing w:after="80"/>
            </w:pPr>
            <w:r w:rsidRPr="002D7748">
              <w:t>Section _.8</w:t>
            </w:r>
          </w:p>
        </w:tc>
      </w:tr>
      <w:tr w:rsidR="00726496" w:rsidRPr="00B9669B" w14:paraId="66CC9531" w14:textId="77777777" w:rsidTr="004955A0">
        <w:trPr>
          <w:cantSplit/>
        </w:trPr>
        <w:tc>
          <w:tcPr>
            <w:tcW w:w="8478" w:type="dxa"/>
          </w:tcPr>
          <w:p w14:paraId="6FF4E5B2" w14:textId="77777777" w:rsidR="00726496" w:rsidRPr="00B9669B" w:rsidRDefault="00726496" w:rsidP="00726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szCs w:val="24"/>
              </w:rPr>
            </w:pPr>
            <w:r w:rsidRPr="00B9669B">
              <w:rPr>
                <w:u w:val="single"/>
              </w:rPr>
              <w:t>Year-end</w:t>
            </w:r>
            <w:r>
              <w:rPr>
                <w:u w:val="single"/>
              </w:rPr>
              <w:t>.</w:t>
            </w:r>
            <w:r w:rsidRPr="00B9669B">
              <w:t xml:space="preserve">  The State of South Carolina has established a fiscal year-end of June 30.  </w:t>
            </w:r>
          </w:p>
        </w:tc>
        <w:tc>
          <w:tcPr>
            <w:tcW w:w="1440" w:type="dxa"/>
          </w:tcPr>
          <w:p w14:paraId="211CBEB3" w14:textId="77777777" w:rsidR="00726496" w:rsidRPr="002D7748" w:rsidRDefault="00726496" w:rsidP="00726496">
            <w:pPr>
              <w:spacing w:after="80"/>
            </w:pPr>
            <w:r w:rsidRPr="002D7748">
              <w:t>Section _.12</w:t>
            </w:r>
          </w:p>
        </w:tc>
      </w:tr>
    </w:tbl>
    <w:p w14:paraId="61511679" w14:textId="77777777" w:rsidR="003A5B12" w:rsidRDefault="003A5B12">
      <w:pPr>
        <w:spacing w:before="0" w:after="0"/>
        <w:jc w:val="left"/>
        <w:rPr>
          <w:b/>
          <w:sz w:val="30"/>
          <w:szCs w:val="24"/>
        </w:rPr>
      </w:pPr>
      <w:r>
        <w:br w:type="page"/>
      </w:r>
    </w:p>
    <w:p w14:paraId="7ED819A3" w14:textId="232FAF29" w:rsidR="001650D0" w:rsidRPr="00380F6B" w:rsidRDefault="00D764B2" w:rsidP="00645391">
      <w:pPr>
        <w:pStyle w:val="Heading1"/>
      </w:pPr>
      <w:bookmarkStart w:id="379" w:name="_Toc166149299"/>
      <w:bookmarkEnd w:id="375"/>
      <w:bookmarkEnd w:id="376"/>
      <w:bookmarkEnd w:id="377"/>
      <w:bookmarkEnd w:id="378"/>
      <w:r>
        <w:lastRenderedPageBreak/>
        <w:t xml:space="preserve">PART </w:t>
      </w:r>
      <w:r w:rsidR="0040473C">
        <w:t>V EXHIBITS</w:t>
      </w:r>
      <w:bookmarkEnd w:id="379"/>
    </w:p>
    <w:p w14:paraId="435C81D1" w14:textId="77777777" w:rsidR="0012040B" w:rsidRDefault="0040473C" w:rsidP="003B02BA">
      <w:pPr>
        <w:pStyle w:val="Heading2"/>
      </w:pPr>
      <w:bookmarkStart w:id="380" w:name="_Toc166149300"/>
      <w:r>
        <w:t>EXHIBIT 3.6(A)</w:t>
      </w:r>
      <w:bookmarkEnd w:id="380"/>
    </w:p>
    <w:p w14:paraId="4EED15A7" w14:textId="77777777" w:rsidR="0040473C" w:rsidRPr="00AD6D09" w:rsidRDefault="0040473C" w:rsidP="00AD6D09">
      <w:pPr>
        <w:jc w:val="center"/>
        <w:rPr>
          <w:b/>
          <w:sz w:val="28"/>
          <w:szCs w:val="32"/>
        </w:rPr>
      </w:pPr>
      <w:r w:rsidRPr="00AD6D09">
        <w:rPr>
          <w:b/>
          <w:sz w:val="28"/>
          <w:szCs w:val="32"/>
        </w:rPr>
        <w:t>Taking a Physical Count</w:t>
      </w:r>
    </w:p>
    <w:p w14:paraId="786482A1" w14:textId="77777777" w:rsidR="0040473C" w:rsidRDefault="0040473C" w:rsidP="0040473C">
      <w:pPr>
        <w:spacing w:after="60"/>
      </w:pPr>
      <w:r>
        <w:t>Each agency should use systematic procedures for taking a physical count of inventory on hand at the end of the fiscal year to ensure that it counts:</w:t>
      </w:r>
    </w:p>
    <w:p w14:paraId="42F447F5" w14:textId="77777777" w:rsidR="0040473C" w:rsidRDefault="0040473C" w:rsidP="0040473C">
      <w:pPr>
        <w:spacing w:before="60" w:after="60"/>
        <w:ind w:left="720" w:hanging="360"/>
      </w:pPr>
      <w:r>
        <w:t>o</w:t>
      </w:r>
      <w:r>
        <w:tab/>
      </w:r>
      <w:r>
        <w:rPr>
          <w:u w:val="words"/>
        </w:rPr>
        <w:t>All</w:t>
      </w:r>
      <w:r>
        <w:t xml:space="preserve"> applicable items.</w:t>
      </w:r>
    </w:p>
    <w:p w14:paraId="30796A61" w14:textId="77777777" w:rsidR="0040473C" w:rsidRDefault="0040473C" w:rsidP="0040473C">
      <w:pPr>
        <w:spacing w:before="60" w:after="60"/>
        <w:ind w:left="720" w:hanging="360"/>
      </w:pPr>
      <w:r>
        <w:t>o</w:t>
      </w:r>
      <w:r>
        <w:tab/>
      </w:r>
      <w:r>
        <w:rPr>
          <w:u w:val="words"/>
        </w:rPr>
        <w:t>Only</w:t>
      </w:r>
      <w:r>
        <w:t xml:space="preserve"> applicable items.</w:t>
      </w:r>
    </w:p>
    <w:p w14:paraId="3CF2E60D" w14:textId="77777777" w:rsidR="0040473C" w:rsidRDefault="0040473C" w:rsidP="0040473C">
      <w:pPr>
        <w:spacing w:before="60"/>
        <w:ind w:left="720" w:hanging="360"/>
      </w:pPr>
      <w:r>
        <w:t>o</w:t>
      </w:r>
      <w:r>
        <w:tab/>
        <w:t>Items only once.</w:t>
      </w:r>
    </w:p>
    <w:p w14:paraId="4D706041" w14:textId="77777777" w:rsidR="0040473C" w:rsidRDefault="0040473C" w:rsidP="0040473C">
      <w:r>
        <w:t xml:space="preserve">Agencies should prepare written instructions for taking the count.  Written instructions help to minimize misunderstandings and make sure that those who help with the count receive complete and consistent instructions.  If your agency's finance or internal audit department did not prepare the written instructions, at least one of these departments should review the instructions.  This will help you to be sure that the procedures meet audit requirements.  </w:t>
      </w:r>
    </w:p>
    <w:p w14:paraId="6B298E27" w14:textId="77777777" w:rsidR="0040473C" w:rsidRDefault="0040473C" w:rsidP="0040473C">
      <w:r>
        <w:t xml:space="preserve">The sample instructions below are </w:t>
      </w:r>
      <w:r>
        <w:rPr>
          <w:u w:val="words"/>
        </w:rPr>
        <w:t>suggestions</w:t>
      </w:r>
      <w:r>
        <w:t xml:space="preserve"> for agencies that do not already have written procedures for taking a physical count.  (Additional guidelines for merchandise inventory and perpetual inventory systems appear in separate sections below.)  If your agency has different written instructions and auditors have expressed satisfaction with those procedures, continue to use them.</w:t>
      </w:r>
    </w:p>
    <w:p w14:paraId="343F67A1" w14:textId="77777777" w:rsidR="0040473C" w:rsidRPr="00CC10A2" w:rsidRDefault="0040473C" w:rsidP="0040473C">
      <w:pPr>
        <w:spacing w:before="180"/>
        <w:rPr>
          <w:sz w:val="26"/>
          <w:szCs w:val="26"/>
          <w:u w:val="single"/>
        </w:rPr>
      </w:pPr>
      <w:r w:rsidRPr="00CC10A2">
        <w:rPr>
          <w:sz w:val="26"/>
          <w:szCs w:val="26"/>
          <w:u w:val="single"/>
        </w:rPr>
        <w:t>Sample Instructions</w:t>
      </w:r>
    </w:p>
    <w:p w14:paraId="7F774FE5" w14:textId="77777777" w:rsidR="0040473C" w:rsidRDefault="0040473C" w:rsidP="0040473C">
      <w:pPr>
        <w:spacing w:after="60"/>
      </w:pPr>
      <w:r>
        <w:t>Before the count begins:</w:t>
      </w:r>
    </w:p>
    <w:p w14:paraId="1F40FE2D" w14:textId="77777777" w:rsidR="00C420AB" w:rsidRDefault="00C420AB" w:rsidP="0040473C">
      <w:pPr>
        <w:spacing w:before="60" w:after="60"/>
        <w:ind w:left="720" w:hanging="360"/>
      </w:pPr>
      <w:r>
        <w:t>o</w:t>
      </w:r>
      <w:r>
        <w:tab/>
        <w:t>Notify the State Auditor’s Office of when the inventory is planned.</w:t>
      </w:r>
    </w:p>
    <w:p w14:paraId="1B63D31A" w14:textId="77777777" w:rsidR="0040473C" w:rsidRDefault="0040473C" w:rsidP="0040473C">
      <w:pPr>
        <w:spacing w:before="60" w:after="60"/>
        <w:ind w:left="720" w:hanging="360"/>
      </w:pPr>
      <w:r>
        <w:t>o</w:t>
      </w:r>
      <w:r>
        <w:tab/>
      </w:r>
      <w:proofErr w:type="gramStart"/>
      <w:r>
        <w:t>For</w:t>
      </w:r>
      <w:proofErr w:type="gramEnd"/>
      <w:r>
        <w:t xml:space="preserve"> several days before and after the count, the receiving department should label all items received as "before count" or "after count."  Staff should also label the related receiving documents and invoices as "before count" or "after count."  (During the count, you will count items labeled "before count" because these items were on hand.  You will </w:t>
      </w:r>
      <w:r>
        <w:rPr>
          <w:u w:val="words"/>
        </w:rPr>
        <w:t>not</w:t>
      </w:r>
      <w:r>
        <w:t xml:space="preserve"> count items labeled "after count," however.  You received those items after the cut</w:t>
      </w:r>
      <w:r>
        <w:noBreakHyphen/>
        <w:t>off for the physical count.)</w:t>
      </w:r>
    </w:p>
    <w:p w14:paraId="5FA63C3F" w14:textId="77777777" w:rsidR="0040473C" w:rsidRDefault="0040473C" w:rsidP="0040473C">
      <w:pPr>
        <w:spacing w:before="60" w:after="60"/>
        <w:ind w:left="720" w:hanging="360"/>
      </w:pPr>
      <w:r>
        <w:t>o</w:t>
      </w:r>
      <w:r>
        <w:tab/>
        <w:t>Separate and identify each separate location within each warehouse or storage area by numbered tags.  Arrange inventory items within each location in an orderly fashion.</w:t>
      </w:r>
    </w:p>
    <w:p w14:paraId="076238BF" w14:textId="77777777" w:rsidR="0040473C" w:rsidRDefault="0040473C" w:rsidP="0040473C">
      <w:pPr>
        <w:spacing w:before="60" w:after="60"/>
        <w:ind w:left="720" w:hanging="360"/>
      </w:pPr>
      <w:r>
        <w:t>o</w:t>
      </w:r>
      <w:r>
        <w:tab/>
        <w:t xml:space="preserve">Determine a way for teams to mark or tag counted items.  The goal is to enable everyone to distinguish counted items from uncounted items at any time. </w:t>
      </w:r>
    </w:p>
    <w:p w14:paraId="5E27B487" w14:textId="77777777" w:rsidR="0040473C" w:rsidRDefault="0040473C" w:rsidP="00FA499A">
      <w:pPr>
        <w:spacing w:before="60" w:after="60"/>
        <w:ind w:left="720" w:hanging="360"/>
      </w:pPr>
      <w:r>
        <w:t>o</w:t>
      </w:r>
      <w:r>
        <w:tab/>
        <w:t xml:space="preserve">Duplicate and prenumber Inventory Sheets.  These are blank forms with columns for location, description, and quantity.  See Exhibit 3.6 (B).  </w:t>
      </w:r>
    </w:p>
    <w:p w14:paraId="34458146" w14:textId="77777777" w:rsidR="0040473C" w:rsidRDefault="0040473C" w:rsidP="0040473C">
      <w:pPr>
        <w:spacing w:before="60" w:after="60"/>
        <w:ind w:left="720" w:hanging="360"/>
      </w:pPr>
      <w:r>
        <w:t>o</w:t>
      </w:r>
      <w:r>
        <w:tab/>
        <w:t xml:space="preserve">Determine the person to </w:t>
      </w:r>
      <w:proofErr w:type="gramStart"/>
      <w:r>
        <w:t>be in charge of</w:t>
      </w:r>
      <w:proofErr w:type="gramEnd"/>
      <w:r>
        <w:t xml:space="preserve"> the physical count.  This person will also maintain the Inventory Sheet Assignment Log.  See Exhibit 3.6 (C).</w:t>
      </w:r>
    </w:p>
    <w:p w14:paraId="697D3949" w14:textId="77777777" w:rsidR="0040473C" w:rsidRDefault="0040473C" w:rsidP="0040473C">
      <w:pPr>
        <w:spacing w:before="60" w:after="60"/>
        <w:ind w:left="720" w:hanging="360"/>
      </w:pPr>
      <w:r>
        <w:lastRenderedPageBreak/>
        <w:t>o</w:t>
      </w:r>
      <w:r>
        <w:tab/>
        <w:t>Determine if your agency has any inventory items stored off</w:t>
      </w:r>
      <w:r>
        <w:noBreakHyphen/>
        <w:t>site with other State agencies or with non</w:t>
      </w:r>
      <w:r>
        <w:noBreakHyphen/>
        <w:t xml:space="preserve">State parties.   (You will send count teams to these locations or arrange to have the other parties report these inventories to your agency.  Include these items in your count.) </w:t>
      </w:r>
    </w:p>
    <w:p w14:paraId="040BA414" w14:textId="77777777" w:rsidR="0040473C" w:rsidRDefault="0040473C" w:rsidP="0040473C">
      <w:pPr>
        <w:spacing w:before="60" w:after="60"/>
        <w:ind w:left="720" w:hanging="360"/>
      </w:pPr>
      <w:r>
        <w:t>o</w:t>
      </w:r>
      <w:r>
        <w:tab/>
        <w:t>Assign counters to work in teams of two.</w:t>
      </w:r>
    </w:p>
    <w:p w14:paraId="4DA23EB9" w14:textId="77777777" w:rsidR="0040473C" w:rsidRDefault="0040473C" w:rsidP="0040473C">
      <w:pPr>
        <w:spacing w:before="60" w:after="60"/>
        <w:ind w:left="720" w:hanging="360"/>
      </w:pPr>
      <w:r>
        <w:t>o</w:t>
      </w:r>
      <w:r>
        <w:tab/>
        <w:t>Assign some persons to be checkers (to check the accuracy of the count).</w:t>
      </w:r>
    </w:p>
    <w:p w14:paraId="644D2688" w14:textId="77777777" w:rsidR="0040473C" w:rsidRDefault="0040473C" w:rsidP="0040473C">
      <w:pPr>
        <w:keepNext/>
        <w:spacing w:before="60" w:after="60"/>
        <w:ind w:left="720" w:hanging="360"/>
      </w:pPr>
      <w:r>
        <w:t>o</w:t>
      </w:r>
      <w:r>
        <w:tab/>
        <w:t xml:space="preserve">Just before the count begins, all counting teams and checkers should report to the inventory control area.  The person in charge of the physical count should: </w:t>
      </w:r>
    </w:p>
    <w:p w14:paraId="7ECC1BC0" w14:textId="77777777" w:rsidR="0040473C" w:rsidRDefault="0040473C" w:rsidP="0040473C">
      <w:pPr>
        <w:spacing w:before="60" w:after="60"/>
        <w:ind w:left="1080" w:hanging="360"/>
      </w:pPr>
      <w:r>
        <w:noBreakHyphen/>
      </w:r>
      <w:r>
        <w:noBreakHyphen/>
      </w:r>
      <w:r>
        <w:tab/>
        <w:t>Issue final instructions to everyone.</w:t>
      </w:r>
    </w:p>
    <w:p w14:paraId="7751879D" w14:textId="77777777" w:rsidR="0040473C" w:rsidRDefault="0040473C" w:rsidP="0040473C">
      <w:pPr>
        <w:spacing w:before="60" w:after="60"/>
        <w:ind w:left="1080" w:hanging="360"/>
      </w:pPr>
      <w:r>
        <w:noBreakHyphen/>
      </w:r>
      <w:r>
        <w:noBreakHyphen/>
      </w:r>
      <w:r>
        <w:tab/>
        <w:t>Assign teams and checkers to specific warehouse or storage areas.</w:t>
      </w:r>
    </w:p>
    <w:p w14:paraId="0DCC7D69" w14:textId="77777777" w:rsidR="0040473C" w:rsidRDefault="0040473C" w:rsidP="0040473C">
      <w:pPr>
        <w:spacing w:before="60"/>
        <w:ind w:left="1080" w:hanging="360"/>
      </w:pPr>
      <w:r>
        <w:noBreakHyphen/>
      </w:r>
      <w:r>
        <w:noBreakHyphen/>
      </w:r>
      <w:r>
        <w:tab/>
        <w:t>Issue blank prenumbered Inventory Sheets to the counting teams.</w:t>
      </w:r>
    </w:p>
    <w:p w14:paraId="78F3E3DB" w14:textId="77777777" w:rsidR="0040473C" w:rsidRDefault="0040473C" w:rsidP="0040473C">
      <w:pPr>
        <w:keepNext/>
        <w:spacing w:after="60"/>
      </w:pPr>
      <w:r>
        <w:t>During the count:</w:t>
      </w:r>
    </w:p>
    <w:p w14:paraId="3F794A09" w14:textId="77777777" w:rsidR="0040473C" w:rsidRDefault="0040473C" w:rsidP="0040473C">
      <w:pPr>
        <w:spacing w:before="60" w:after="60"/>
        <w:ind w:left="634" w:hanging="360"/>
      </w:pPr>
      <w:r>
        <w:t>o</w:t>
      </w:r>
      <w:r>
        <w:tab/>
      </w:r>
      <w:proofErr w:type="gramStart"/>
      <w:r>
        <w:t>To</w:t>
      </w:r>
      <w:proofErr w:type="gramEnd"/>
      <w:r>
        <w:t xml:space="preserve"> the extent possible, shut down operations in each location until the count for that location is complete.  If you </w:t>
      </w:r>
      <w:r>
        <w:rPr>
          <w:u w:val="words"/>
        </w:rPr>
        <w:t>must</w:t>
      </w:r>
      <w:r>
        <w:t xml:space="preserve"> issue items during the count, be sure that someone has counted and recorded the items before you issue them.</w:t>
      </w:r>
    </w:p>
    <w:p w14:paraId="2B1A1051" w14:textId="77777777" w:rsidR="0040473C" w:rsidRDefault="0040473C" w:rsidP="0040473C">
      <w:pPr>
        <w:spacing w:before="60" w:after="60"/>
        <w:ind w:left="634" w:hanging="360"/>
      </w:pPr>
      <w:r>
        <w:t>o</w:t>
      </w:r>
      <w:r>
        <w:tab/>
        <w:t>Mark "issued" on the count sheet next to these items.  This will help prevent discrepancies between counters and checkers.</w:t>
      </w:r>
    </w:p>
    <w:p w14:paraId="21F0AD1F" w14:textId="77777777" w:rsidR="0040473C" w:rsidRDefault="00A54A3C" w:rsidP="0040473C">
      <w:pPr>
        <w:spacing w:before="60" w:after="60"/>
        <w:ind w:left="634" w:hanging="360"/>
      </w:pPr>
      <w:r>
        <w:t>o</w:t>
      </w:r>
      <w:r>
        <w:tab/>
        <w:t xml:space="preserve">Counters work in teams of two, one as the caller and the other as marker.  </w:t>
      </w:r>
      <w:r w:rsidR="0040473C">
        <w:t>The caller counts the quantity of an item and calls out the information to the marker.  The marker writes the information on the Inventory Sheet.  Specifically:</w:t>
      </w:r>
    </w:p>
    <w:p w14:paraId="292E52DC" w14:textId="77777777" w:rsidR="0040473C" w:rsidRDefault="0040473C" w:rsidP="0040473C">
      <w:pPr>
        <w:spacing w:before="60" w:after="60"/>
        <w:ind w:left="1080" w:hanging="364"/>
      </w:pPr>
      <w:r>
        <w:t>--</w:t>
      </w:r>
      <w:r>
        <w:tab/>
        <w:t>Location:  The warehouse name and number from the appropriate area tag.</w:t>
      </w:r>
    </w:p>
    <w:p w14:paraId="712D782B" w14:textId="77777777" w:rsidR="0040473C" w:rsidRDefault="0040473C" w:rsidP="0040473C">
      <w:pPr>
        <w:spacing w:before="60" w:after="60"/>
        <w:ind w:left="1080" w:hanging="364"/>
      </w:pPr>
      <w:r>
        <w:t>--</w:t>
      </w:r>
      <w:r>
        <w:tab/>
        <w:t>Item Description:  Use written descriptions.  Include size, model number, etc., if applicable.  Also include identifying item codes if the agency uses such codes.</w:t>
      </w:r>
    </w:p>
    <w:p w14:paraId="7867F6F0" w14:textId="77777777" w:rsidR="0040473C" w:rsidRDefault="0040473C" w:rsidP="0040473C">
      <w:pPr>
        <w:spacing w:before="60" w:after="60"/>
        <w:ind w:left="1080" w:hanging="364"/>
      </w:pPr>
      <w:r>
        <w:t>--</w:t>
      </w:r>
      <w:r>
        <w:tab/>
        <w:t>Quantity:  Indicate units of measure (each, dozen, gallons, etc.) where applicable.</w:t>
      </w:r>
    </w:p>
    <w:p w14:paraId="477955FD" w14:textId="77777777" w:rsidR="0040473C" w:rsidRDefault="0040473C" w:rsidP="0040473C">
      <w:pPr>
        <w:spacing w:before="60" w:after="60"/>
        <w:ind w:left="720" w:hanging="4"/>
      </w:pPr>
      <w:r>
        <w:t>Use separate Inventory Sheets for separate locations.  Each line on an Inventory Sheet represents a specific type of item in a specific location.  The same item will appear on two or more Inventory Sheets if two or more locations have that item.</w:t>
      </w:r>
    </w:p>
    <w:p w14:paraId="14E4AE0B" w14:textId="77777777" w:rsidR="0040473C" w:rsidRDefault="0040473C" w:rsidP="0040473C">
      <w:pPr>
        <w:spacing w:before="60" w:after="60"/>
        <w:ind w:left="634" w:hanging="446"/>
      </w:pPr>
      <w:r>
        <w:t>o</w:t>
      </w:r>
      <w:r>
        <w:tab/>
        <w:t>After calling and marking a particular item, the team should tag or mark the physical item.  This will enable all to see that the count of that item is complete.</w:t>
      </w:r>
    </w:p>
    <w:p w14:paraId="23F59B63" w14:textId="77777777" w:rsidR="0040473C" w:rsidRDefault="0040473C" w:rsidP="0040473C">
      <w:pPr>
        <w:spacing w:before="60" w:after="60"/>
        <w:ind w:left="634" w:hanging="446"/>
      </w:pPr>
      <w:r>
        <w:t>o</w:t>
      </w:r>
      <w:r>
        <w:tab/>
        <w:t xml:space="preserve">If the agency receives items while the count is in progress, put them aside and label them as "after count."  Do </w:t>
      </w:r>
      <w:r>
        <w:rPr>
          <w:u w:val="words"/>
        </w:rPr>
        <w:t>not</w:t>
      </w:r>
      <w:r>
        <w:t xml:space="preserve"> count these items. </w:t>
      </w:r>
    </w:p>
    <w:p w14:paraId="2056F211" w14:textId="77777777" w:rsidR="0040473C" w:rsidRDefault="0040473C" w:rsidP="0040473C">
      <w:pPr>
        <w:spacing w:before="60" w:after="60"/>
        <w:ind w:left="634" w:hanging="446"/>
      </w:pPr>
      <w:r>
        <w:t>o</w:t>
      </w:r>
      <w:r>
        <w:tab/>
        <w:t>Do not count any inventories on hand that belong to other agencies or non</w:t>
      </w:r>
      <w:r>
        <w:noBreakHyphen/>
        <w:t>State parties.  Tag or mark these items clearly so counters and checkers will not count them.</w:t>
      </w:r>
    </w:p>
    <w:p w14:paraId="42914C7E" w14:textId="77777777" w:rsidR="0040473C" w:rsidRDefault="0040473C" w:rsidP="0040473C">
      <w:pPr>
        <w:spacing w:before="60" w:after="60"/>
        <w:ind w:left="634" w:hanging="446"/>
      </w:pPr>
      <w:r>
        <w:t>o</w:t>
      </w:r>
      <w:r>
        <w:tab/>
        <w:t>Send teams to count off</w:t>
      </w:r>
      <w:r>
        <w:noBreakHyphen/>
        <w:t>site inventories or arrange to have other parties count and report these inventories to your agency.  Include these items in your count.</w:t>
      </w:r>
    </w:p>
    <w:p w14:paraId="5B306134" w14:textId="77777777" w:rsidR="0040473C" w:rsidRDefault="0040473C" w:rsidP="0040473C">
      <w:pPr>
        <w:spacing w:before="60" w:after="60"/>
        <w:ind w:left="634" w:hanging="446"/>
      </w:pPr>
      <w:r>
        <w:t>o</w:t>
      </w:r>
      <w:r>
        <w:tab/>
        <w:t>During the physical count, several checkers should check the work of the counting teams.  Checkers should document which items they have checked.  A checker who finds an error should:</w:t>
      </w:r>
    </w:p>
    <w:p w14:paraId="6A0DE327" w14:textId="77777777" w:rsidR="0040473C" w:rsidRDefault="0040473C" w:rsidP="0040473C">
      <w:pPr>
        <w:spacing w:before="60" w:after="60"/>
        <w:ind w:left="1080" w:hanging="360"/>
      </w:pPr>
      <w:r>
        <w:t>--</w:t>
      </w:r>
      <w:r>
        <w:tab/>
        <w:t>Identify the appropriate team and call the error to their attention.</w:t>
      </w:r>
    </w:p>
    <w:p w14:paraId="31D03226" w14:textId="77777777" w:rsidR="0040473C" w:rsidRDefault="0040473C" w:rsidP="0040473C">
      <w:pPr>
        <w:spacing w:before="60" w:after="60"/>
        <w:ind w:left="1080" w:hanging="360"/>
      </w:pPr>
      <w:r>
        <w:t>--</w:t>
      </w:r>
      <w:r>
        <w:tab/>
        <w:t>Ask the team to count the item again and record the result on a new line.</w:t>
      </w:r>
    </w:p>
    <w:p w14:paraId="1B20B3A0" w14:textId="77777777" w:rsidR="0040473C" w:rsidRDefault="0040473C" w:rsidP="0040473C">
      <w:pPr>
        <w:spacing w:before="60" w:after="60"/>
        <w:ind w:left="1080" w:hanging="360"/>
      </w:pPr>
      <w:r>
        <w:lastRenderedPageBreak/>
        <w:t>--</w:t>
      </w:r>
      <w:r>
        <w:tab/>
        <w:t xml:space="preserve">Mark through the original line on the Inventory Sheet and </w:t>
      </w:r>
      <w:r w:rsidR="00A54A3C">
        <w:t>cross-reference</w:t>
      </w:r>
      <w:r>
        <w:t xml:space="preserve"> it to the corrected line.</w:t>
      </w:r>
    </w:p>
    <w:p w14:paraId="5097B01B" w14:textId="77777777" w:rsidR="0040473C" w:rsidRDefault="0040473C" w:rsidP="0040473C">
      <w:pPr>
        <w:spacing w:before="60"/>
        <w:ind w:left="634" w:hanging="360"/>
      </w:pPr>
      <w:r>
        <w:t>o</w:t>
      </w:r>
      <w:r>
        <w:tab/>
        <w:t xml:space="preserve">Teams should completely count each major warehouse location or storage area before proceeding to another location.  </w:t>
      </w:r>
    </w:p>
    <w:p w14:paraId="664BD160" w14:textId="77777777" w:rsidR="0040473C" w:rsidRDefault="0040473C" w:rsidP="0040473C">
      <w:pPr>
        <w:keepNext/>
        <w:spacing w:after="60"/>
      </w:pPr>
      <w:r>
        <w:t>Upon completion of the counting and checking in a particular location, the team should:</w:t>
      </w:r>
    </w:p>
    <w:p w14:paraId="05AC3A5A" w14:textId="77777777" w:rsidR="0040473C" w:rsidRDefault="0040473C" w:rsidP="0040473C">
      <w:pPr>
        <w:spacing w:before="60" w:after="60"/>
        <w:ind w:left="720" w:hanging="360"/>
      </w:pPr>
      <w:r>
        <w:t>o</w:t>
      </w:r>
      <w:r>
        <w:tab/>
        <w:t>Sign the Inventory Sheet(s) for that location.</w:t>
      </w:r>
    </w:p>
    <w:p w14:paraId="3B474671" w14:textId="77777777" w:rsidR="0040473C" w:rsidRDefault="0040473C" w:rsidP="0040473C">
      <w:pPr>
        <w:spacing w:before="60"/>
        <w:ind w:left="720" w:hanging="360"/>
      </w:pPr>
      <w:r>
        <w:t>o</w:t>
      </w:r>
      <w:r>
        <w:tab/>
        <w:t xml:space="preserve">Return the sheets to the person in charge of the count.  Return all Inventory Sheet, including </w:t>
      </w:r>
      <w:r>
        <w:rPr>
          <w:u w:val="words"/>
        </w:rPr>
        <w:t>all</w:t>
      </w:r>
      <w:r>
        <w:t xml:space="preserve"> void and unused sheets.  </w:t>
      </w:r>
      <w:r>
        <w:rPr>
          <w:u w:val="single"/>
        </w:rPr>
        <w:t>Do not</w:t>
      </w:r>
      <w:r>
        <w:t xml:space="preserve"> discard </w:t>
      </w:r>
      <w:r>
        <w:rPr>
          <w:u w:val="words"/>
        </w:rPr>
        <w:t>any</w:t>
      </w:r>
      <w:r>
        <w:t xml:space="preserve"> forms for </w:t>
      </w:r>
      <w:r>
        <w:rPr>
          <w:u w:val="words"/>
        </w:rPr>
        <w:t>any</w:t>
      </w:r>
      <w:r>
        <w:t xml:space="preserve"> reason.</w:t>
      </w:r>
    </w:p>
    <w:p w14:paraId="38663C49" w14:textId="77777777" w:rsidR="0040473C" w:rsidRDefault="0040473C" w:rsidP="0040473C">
      <w:pPr>
        <w:spacing w:after="60"/>
      </w:pPr>
      <w:r>
        <w:t>At the conclusion of the count:</w:t>
      </w:r>
    </w:p>
    <w:p w14:paraId="45239130" w14:textId="77777777" w:rsidR="0040473C" w:rsidRDefault="0040473C" w:rsidP="0040473C">
      <w:pPr>
        <w:spacing w:before="60" w:after="60"/>
        <w:ind w:left="720" w:hanging="360"/>
      </w:pPr>
      <w:r>
        <w:t>o</w:t>
      </w:r>
      <w:r>
        <w:tab/>
      </w:r>
      <w:proofErr w:type="gramStart"/>
      <w:r>
        <w:t>The</w:t>
      </w:r>
      <w:proofErr w:type="gramEnd"/>
      <w:r>
        <w:t xml:space="preserve"> person in charge of the count maintains the Inventory Sheet Control Log to account for all Inventory Sheets issued.  This person must determine that all Inventory Sheets are present.</w:t>
      </w:r>
    </w:p>
    <w:p w14:paraId="0085C205" w14:textId="77777777" w:rsidR="0040473C" w:rsidRDefault="0040473C" w:rsidP="0040473C">
      <w:pPr>
        <w:spacing w:before="60"/>
        <w:ind w:left="720" w:hanging="360"/>
      </w:pPr>
      <w:r>
        <w:t>o</w:t>
      </w:r>
      <w:r>
        <w:tab/>
        <w:t xml:space="preserve">After the teams </w:t>
      </w:r>
      <w:proofErr w:type="gramStart"/>
      <w:r>
        <w:t>complete</w:t>
      </w:r>
      <w:proofErr w:type="gramEnd"/>
      <w:r>
        <w:t xml:space="preserve"> all tasks and return all forms, the person in charge will release the teams.  No one may leave until that time.</w:t>
      </w:r>
    </w:p>
    <w:p w14:paraId="2670FCA8" w14:textId="77777777" w:rsidR="0040473C" w:rsidRDefault="0040473C" w:rsidP="0040473C">
      <w:pPr>
        <w:keepNext/>
        <w:spacing w:after="60"/>
      </w:pPr>
      <w:r>
        <w:t>After the count:</w:t>
      </w:r>
    </w:p>
    <w:p w14:paraId="57996D68" w14:textId="77777777" w:rsidR="0040473C" w:rsidRDefault="0040473C" w:rsidP="0040473C">
      <w:pPr>
        <w:keepNext/>
        <w:spacing w:before="60" w:after="60"/>
        <w:ind w:left="720" w:hanging="360"/>
      </w:pPr>
      <w:r>
        <w:t>o</w:t>
      </w:r>
      <w:r>
        <w:tab/>
        <w:t>If the agency's data processing department will input and process the inventory data:</w:t>
      </w:r>
    </w:p>
    <w:p w14:paraId="340712D9" w14:textId="77777777" w:rsidR="0040473C" w:rsidRDefault="0040473C" w:rsidP="0040473C">
      <w:pPr>
        <w:spacing w:before="60" w:after="60"/>
        <w:ind w:left="1080" w:hanging="360"/>
      </w:pPr>
      <w:r>
        <w:t>--</w:t>
      </w:r>
      <w:r>
        <w:tab/>
        <w:t>The person responsible for the count should submit all Inventory Sheets to the data processing department.</w:t>
      </w:r>
    </w:p>
    <w:p w14:paraId="0E6AEBBF" w14:textId="77777777" w:rsidR="0040473C" w:rsidRDefault="0040473C" w:rsidP="0040473C">
      <w:pPr>
        <w:spacing w:before="60" w:after="60"/>
        <w:ind w:left="1080" w:hanging="360"/>
      </w:pPr>
      <w:r>
        <w:t>--</w:t>
      </w:r>
      <w:r>
        <w:tab/>
        <w:t>The data processing department will then:</w:t>
      </w:r>
    </w:p>
    <w:p w14:paraId="36E2BADB" w14:textId="77777777" w:rsidR="0040473C" w:rsidRDefault="0040473C" w:rsidP="0040473C">
      <w:pPr>
        <w:spacing w:before="60" w:after="60"/>
        <w:ind w:left="1440" w:hanging="360"/>
      </w:pPr>
      <w:r>
        <w:t>*</w:t>
      </w:r>
      <w:r>
        <w:tab/>
        <w:t>Input information from the Inventory Sheets into the data processing system.</w:t>
      </w:r>
    </w:p>
    <w:p w14:paraId="33272D70" w14:textId="77777777" w:rsidR="0040473C" w:rsidRDefault="0040473C" w:rsidP="0040473C">
      <w:pPr>
        <w:spacing w:before="60" w:after="60"/>
        <w:ind w:left="1440" w:hanging="360"/>
      </w:pPr>
      <w:r>
        <w:t>*</w:t>
      </w:r>
      <w:r>
        <w:tab/>
        <w:t>Produce a printout showing item description, location, and quantity for all items on hand.  This printout will include appropriate totals.</w:t>
      </w:r>
    </w:p>
    <w:p w14:paraId="0106FF47" w14:textId="77777777" w:rsidR="0040473C" w:rsidRDefault="0040473C" w:rsidP="0040473C">
      <w:pPr>
        <w:spacing w:before="60" w:after="60"/>
        <w:ind w:left="1440" w:hanging="360"/>
      </w:pPr>
      <w:r>
        <w:t>*</w:t>
      </w:r>
      <w:r>
        <w:tab/>
        <w:t>Deliver the printout to the person in charge of the physical count.</w:t>
      </w:r>
    </w:p>
    <w:p w14:paraId="047BF541" w14:textId="77777777" w:rsidR="0040473C" w:rsidRDefault="0040473C" w:rsidP="0040473C">
      <w:pPr>
        <w:spacing w:before="60" w:after="60"/>
        <w:ind w:left="1080" w:hanging="360"/>
      </w:pPr>
      <w:r>
        <w:t>--</w:t>
      </w:r>
      <w:r>
        <w:tab/>
        <w:t>In some agencies, the data processing department enters unit values as well as data from Inventory Sheets.  Then the resulting printout will include unit values, item values (count times unit value), and grand total value.</w:t>
      </w:r>
    </w:p>
    <w:p w14:paraId="227C6368" w14:textId="77777777" w:rsidR="0040473C" w:rsidRDefault="0040473C" w:rsidP="0040473C">
      <w:pPr>
        <w:spacing w:before="60"/>
        <w:ind w:left="720" w:hanging="360"/>
      </w:pPr>
      <w:r>
        <w:t>o</w:t>
      </w:r>
      <w:r>
        <w:tab/>
        <w:t>Adjust the preceding procedures accordingly if the agency's data processing department will not input and process the inventory data.</w:t>
      </w:r>
    </w:p>
    <w:p w14:paraId="18FE52E0" w14:textId="77777777" w:rsidR="001715FB" w:rsidRPr="005D0457" w:rsidRDefault="001715FB" w:rsidP="001715FB">
      <w:pPr>
        <w:spacing w:before="80" w:after="40"/>
        <w:rPr>
          <w:szCs w:val="24"/>
        </w:rPr>
      </w:pPr>
      <w:r w:rsidRPr="005D0457">
        <w:rPr>
          <w:szCs w:val="24"/>
        </w:rPr>
        <w:t xml:space="preserve">The State of South Carolina’s accounting and reporting policies restrict the valuation methods used for inventory to the last invoice price method, specific identification, average cost (moving-average or weighted average), and FIFO.  An agency is not restricted to using the same valuation method for all types of inventories held.  The method used should consider characteristics inherent in the inventory items.  </w:t>
      </w:r>
    </w:p>
    <w:p w14:paraId="6FBE1781" w14:textId="77777777" w:rsidR="001715FB" w:rsidRDefault="001715FB" w:rsidP="001715FB">
      <w:pPr>
        <w:spacing w:before="80" w:after="40"/>
        <w:rPr>
          <w:szCs w:val="24"/>
        </w:rPr>
      </w:pPr>
      <w:r w:rsidRPr="005D0457">
        <w:rPr>
          <w:szCs w:val="24"/>
        </w:rPr>
        <w:t xml:space="preserve">Donated items and those costing nominal amounts should be valued at fair value on the date received.  This is the price the State would have to pay if it purchased similar items from regular sources.  United States Department of Agriculture food supplies are </w:t>
      </w:r>
      <w:r>
        <w:rPr>
          <w:szCs w:val="24"/>
        </w:rPr>
        <w:t xml:space="preserve">also </w:t>
      </w:r>
      <w:r w:rsidRPr="005F1BC4">
        <w:rPr>
          <w:szCs w:val="24"/>
        </w:rPr>
        <w:t>valued at fair value</w:t>
      </w:r>
      <w:r w:rsidRPr="005D0457">
        <w:rPr>
          <w:szCs w:val="24"/>
        </w:rPr>
        <w:t>.</w:t>
      </w:r>
    </w:p>
    <w:p w14:paraId="6A9893EE" w14:textId="77777777" w:rsidR="003950F1" w:rsidRDefault="003950F1" w:rsidP="001715FB">
      <w:pPr>
        <w:spacing w:before="80" w:after="40"/>
        <w:rPr>
          <w:szCs w:val="24"/>
        </w:rPr>
      </w:pPr>
    </w:p>
    <w:p w14:paraId="7A6FEE72" w14:textId="77777777" w:rsidR="003950F1" w:rsidRPr="005D0457" w:rsidRDefault="003950F1" w:rsidP="001715FB">
      <w:pPr>
        <w:spacing w:before="80" w:after="40"/>
        <w:rPr>
          <w:szCs w:val="24"/>
        </w:rPr>
      </w:pPr>
    </w:p>
    <w:p w14:paraId="331B7537" w14:textId="77777777" w:rsidR="001715FB" w:rsidRPr="001715FB" w:rsidRDefault="001715FB" w:rsidP="001715FB">
      <w:pPr>
        <w:pStyle w:val="Caption"/>
        <w:rPr>
          <w:b w:val="0"/>
          <w:sz w:val="24"/>
          <w:szCs w:val="24"/>
          <w:u w:val="single"/>
        </w:rPr>
      </w:pPr>
      <w:bookmarkStart w:id="381" w:name="_Toc296021459"/>
      <w:bookmarkStart w:id="382" w:name="_Toc296021548"/>
      <w:bookmarkStart w:id="383" w:name="_Toc296235440"/>
      <w:bookmarkStart w:id="384" w:name="_Toc296235541"/>
      <w:r w:rsidRPr="001715FB">
        <w:rPr>
          <w:b w:val="0"/>
          <w:sz w:val="24"/>
          <w:szCs w:val="24"/>
          <w:u w:val="single"/>
        </w:rPr>
        <w:t>Average Cost Valuation Method</w:t>
      </w:r>
      <w:bookmarkEnd w:id="381"/>
      <w:bookmarkEnd w:id="382"/>
      <w:bookmarkEnd w:id="383"/>
      <w:bookmarkEnd w:id="384"/>
    </w:p>
    <w:p w14:paraId="3F6C84BD" w14:textId="77777777" w:rsidR="001715FB" w:rsidRPr="005D0457" w:rsidRDefault="001715FB" w:rsidP="001715FB">
      <w:pPr>
        <w:spacing w:before="40"/>
        <w:rPr>
          <w:szCs w:val="24"/>
        </w:rPr>
      </w:pPr>
      <w:r w:rsidRPr="005D0457">
        <w:rPr>
          <w:szCs w:val="24"/>
        </w:rPr>
        <w:lastRenderedPageBreak/>
        <w:t xml:space="preserve">To use the average cost valuation method, items on hand are valued at the average cost of similar items purchased during the fiscal year.  There are two methods for computing average cost:  </w:t>
      </w:r>
    </w:p>
    <w:p w14:paraId="412D249F" w14:textId="77777777" w:rsidR="001715FB" w:rsidRPr="005D0457" w:rsidRDefault="001715FB" w:rsidP="005C2F33">
      <w:pPr>
        <w:pStyle w:val="ListParagraph"/>
        <w:numPr>
          <w:ilvl w:val="0"/>
          <w:numId w:val="23"/>
        </w:numPr>
        <w:spacing w:before="40"/>
        <w:rPr>
          <w:szCs w:val="24"/>
        </w:rPr>
      </w:pPr>
      <w:r w:rsidRPr="005D0457">
        <w:rPr>
          <w:szCs w:val="24"/>
        </w:rPr>
        <w:t>Moving-Average – typically used with perpetual inventory systems.  A simple average is calculated and adjusted for each purchase of the inventory item.</w:t>
      </w:r>
    </w:p>
    <w:p w14:paraId="7BE2B90E" w14:textId="77777777" w:rsidR="001715FB" w:rsidRPr="005D0457" w:rsidRDefault="001715FB" w:rsidP="005C2F33">
      <w:pPr>
        <w:pStyle w:val="ListParagraph"/>
        <w:numPr>
          <w:ilvl w:val="0"/>
          <w:numId w:val="23"/>
        </w:numPr>
        <w:spacing w:before="40"/>
        <w:rPr>
          <w:szCs w:val="24"/>
        </w:rPr>
      </w:pPr>
      <w:r w:rsidRPr="005D0457">
        <w:rPr>
          <w:szCs w:val="24"/>
        </w:rPr>
        <w:t xml:space="preserve">Weighted-Average – typically used with periodic inventory systems.  The price per unit is maintained for each item in inventory.  The calculation multiplies the unit costs by the number remaining in inventory summing these values for all of the items in quantity on hand for the item to determine the </w:t>
      </w:r>
      <w:proofErr w:type="gramStart"/>
      <w:r w:rsidRPr="005D0457">
        <w:rPr>
          <w:szCs w:val="24"/>
        </w:rPr>
        <w:t>weighted-average</w:t>
      </w:r>
      <w:proofErr w:type="gramEnd"/>
      <w:r w:rsidRPr="005D0457">
        <w:rPr>
          <w:szCs w:val="24"/>
        </w:rPr>
        <w:t xml:space="preserve">.  </w:t>
      </w:r>
    </w:p>
    <w:p w14:paraId="43E2515C" w14:textId="77777777" w:rsidR="001715FB" w:rsidRPr="001715FB" w:rsidRDefault="001715FB" w:rsidP="001715FB">
      <w:pPr>
        <w:pStyle w:val="Caption"/>
        <w:rPr>
          <w:b w:val="0"/>
          <w:sz w:val="24"/>
          <w:szCs w:val="24"/>
          <w:u w:val="single"/>
        </w:rPr>
      </w:pPr>
      <w:bookmarkStart w:id="385" w:name="_Toc296021460"/>
      <w:bookmarkStart w:id="386" w:name="_Toc296021549"/>
      <w:bookmarkStart w:id="387" w:name="_Toc296235441"/>
      <w:bookmarkStart w:id="388" w:name="_Toc296235542"/>
      <w:bookmarkStart w:id="389" w:name="_Toc296247826"/>
      <w:r w:rsidRPr="001715FB">
        <w:rPr>
          <w:b w:val="0"/>
          <w:sz w:val="24"/>
          <w:szCs w:val="24"/>
          <w:u w:val="single"/>
        </w:rPr>
        <w:t>Merchandise Inventory</w:t>
      </w:r>
      <w:bookmarkEnd w:id="385"/>
      <w:bookmarkEnd w:id="386"/>
      <w:bookmarkEnd w:id="387"/>
      <w:bookmarkEnd w:id="388"/>
      <w:bookmarkEnd w:id="389"/>
    </w:p>
    <w:p w14:paraId="5C581940" w14:textId="77777777" w:rsidR="001715FB" w:rsidRPr="005D0457" w:rsidRDefault="001715FB" w:rsidP="001715FB">
      <w:pPr>
        <w:spacing w:before="40" w:after="40"/>
        <w:rPr>
          <w:szCs w:val="24"/>
        </w:rPr>
      </w:pPr>
      <w:r w:rsidRPr="005D0457">
        <w:rPr>
          <w:szCs w:val="24"/>
        </w:rPr>
        <w:t>An alternative method for valuation of merchandise inventory is calculation by gross margin percentage.  This method may be used if a standard gross margin is management’s method for determining the retail price of merchandise inventory for sale.  Under this method:</w:t>
      </w:r>
    </w:p>
    <w:p w14:paraId="3ACD9C7E" w14:textId="77777777" w:rsidR="001715FB" w:rsidRPr="005D0457" w:rsidRDefault="001715FB" w:rsidP="001715FB">
      <w:pPr>
        <w:pStyle w:val="Bullet10"/>
        <w:spacing w:before="40" w:after="40"/>
        <w:ind w:hanging="360"/>
        <w:rPr>
          <w:szCs w:val="24"/>
        </w:rPr>
      </w:pPr>
      <w:r w:rsidRPr="005D0457">
        <w:rPr>
          <w:szCs w:val="24"/>
        </w:rPr>
        <w:t>1.</w:t>
      </w:r>
      <w:r w:rsidRPr="005D0457">
        <w:rPr>
          <w:szCs w:val="24"/>
        </w:rPr>
        <w:tab/>
        <w:t>Value the merchandise multiplying the retail of each item by the physical count.</w:t>
      </w:r>
    </w:p>
    <w:p w14:paraId="7CF96B5B" w14:textId="77777777" w:rsidR="001715FB" w:rsidRPr="005D0457" w:rsidRDefault="001715FB" w:rsidP="001715FB">
      <w:pPr>
        <w:pStyle w:val="Bullet10"/>
        <w:spacing w:before="40" w:after="40"/>
        <w:ind w:hanging="360"/>
        <w:rPr>
          <w:szCs w:val="24"/>
        </w:rPr>
      </w:pPr>
      <w:r w:rsidRPr="005D0457">
        <w:rPr>
          <w:szCs w:val="24"/>
        </w:rPr>
        <w:t>2.</w:t>
      </w:r>
      <w:r w:rsidRPr="005D0457">
        <w:rPr>
          <w:szCs w:val="24"/>
        </w:rPr>
        <w:tab/>
        <w:t xml:space="preserve">Apply management’s target "gross margin percentage" to reduce the retail value to cost.  </w:t>
      </w:r>
    </w:p>
    <w:p w14:paraId="07987D3F" w14:textId="77777777" w:rsidR="001715FB" w:rsidRPr="005D0457" w:rsidRDefault="001715FB" w:rsidP="001715FB">
      <w:pPr>
        <w:pStyle w:val="Bullet10"/>
        <w:spacing w:before="40" w:after="40"/>
        <w:ind w:hanging="360"/>
        <w:rPr>
          <w:szCs w:val="24"/>
        </w:rPr>
      </w:pPr>
      <w:r w:rsidRPr="005D0457">
        <w:rPr>
          <w:szCs w:val="24"/>
        </w:rPr>
        <w:t>3.</w:t>
      </w:r>
      <w:r w:rsidRPr="005D0457">
        <w:rPr>
          <w:szCs w:val="24"/>
        </w:rPr>
        <w:tab/>
        <w:t xml:space="preserve">If categories are utilized in management’s method of setting gross margin percentages, organize the inventory accordingly and apply the accurate gross margin to each category.  </w:t>
      </w:r>
    </w:p>
    <w:p w14:paraId="00097EAE" w14:textId="77777777" w:rsidR="001715FB" w:rsidRPr="005D0457" w:rsidRDefault="001715FB" w:rsidP="001715FB">
      <w:pPr>
        <w:pStyle w:val="Bullet10"/>
        <w:spacing w:before="40" w:after="40"/>
        <w:ind w:hanging="360"/>
        <w:rPr>
          <w:szCs w:val="24"/>
        </w:rPr>
      </w:pPr>
      <w:r w:rsidRPr="005D0457">
        <w:rPr>
          <w:szCs w:val="24"/>
        </w:rPr>
        <w:t>4.</w:t>
      </w:r>
      <w:r w:rsidRPr="005D0457">
        <w:rPr>
          <w:szCs w:val="24"/>
        </w:rPr>
        <w:tab/>
        <w:t>Marked-down merchandise should be valued at the lower of cost or selling price.</w:t>
      </w:r>
    </w:p>
    <w:p w14:paraId="074D93CF" w14:textId="77777777" w:rsidR="001715FB" w:rsidRPr="001715FB" w:rsidRDefault="001715FB" w:rsidP="001715FB">
      <w:pPr>
        <w:pStyle w:val="Caption"/>
        <w:rPr>
          <w:b w:val="0"/>
          <w:sz w:val="24"/>
          <w:szCs w:val="24"/>
          <w:u w:val="single"/>
        </w:rPr>
      </w:pPr>
      <w:bookmarkStart w:id="390" w:name="_Toc296021461"/>
      <w:bookmarkStart w:id="391" w:name="_Toc296021550"/>
      <w:bookmarkStart w:id="392" w:name="_Toc296235442"/>
      <w:bookmarkStart w:id="393" w:name="_Toc296235543"/>
      <w:bookmarkStart w:id="394" w:name="_Toc296247827"/>
      <w:r w:rsidRPr="001715FB">
        <w:rPr>
          <w:b w:val="0"/>
          <w:sz w:val="24"/>
          <w:szCs w:val="24"/>
          <w:u w:val="single"/>
        </w:rPr>
        <w:t>Perpetual Inventory Systems</w:t>
      </w:r>
      <w:bookmarkEnd w:id="390"/>
      <w:bookmarkEnd w:id="391"/>
      <w:bookmarkEnd w:id="392"/>
      <w:bookmarkEnd w:id="393"/>
      <w:bookmarkEnd w:id="394"/>
    </w:p>
    <w:p w14:paraId="462C2153" w14:textId="77777777" w:rsidR="001715FB" w:rsidRPr="005D0457" w:rsidRDefault="001715FB" w:rsidP="001715FB">
      <w:pPr>
        <w:keepLines/>
        <w:spacing w:before="40" w:after="40"/>
        <w:rPr>
          <w:szCs w:val="24"/>
        </w:rPr>
      </w:pPr>
      <w:r w:rsidRPr="005D0457">
        <w:rPr>
          <w:szCs w:val="24"/>
        </w:rPr>
        <w:t xml:space="preserve">A perpetual inventory system utilizes programming within a computer software program to modify the quantity on hand in real time allowing inquiry at any point in time that should report an accurate inventory count (assuming effective control over access, acceptance, and issuance of inventory items).  </w:t>
      </w:r>
      <w:proofErr w:type="gramStart"/>
      <w:r w:rsidRPr="005D0457">
        <w:rPr>
          <w:szCs w:val="24"/>
        </w:rPr>
        <w:t>However</w:t>
      </w:r>
      <w:proofErr w:type="gramEnd"/>
      <w:r w:rsidRPr="005D0457">
        <w:rPr>
          <w:szCs w:val="24"/>
        </w:rPr>
        <w:t xml:space="preserve"> reality shows that all inventories experience shrinkage during normal operations.  </w:t>
      </w:r>
      <w:proofErr w:type="gramStart"/>
      <w:r w:rsidRPr="005D0457">
        <w:rPr>
          <w:szCs w:val="24"/>
        </w:rPr>
        <w:t>Therefore</w:t>
      </w:r>
      <w:proofErr w:type="gramEnd"/>
      <w:r w:rsidRPr="005D0457">
        <w:rPr>
          <w:szCs w:val="24"/>
        </w:rPr>
        <w:t xml:space="preserve"> a physical count is essential as a control and valuation tool.  The physical count can:</w:t>
      </w:r>
    </w:p>
    <w:p w14:paraId="26074C55" w14:textId="77777777" w:rsidR="001715FB" w:rsidRPr="005D0457" w:rsidRDefault="001715FB" w:rsidP="001715FB">
      <w:pPr>
        <w:pStyle w:val="Bullet10"/>
        <w:spacing w:before="40" w:after="40"/>
        <w:ind w:hanging="360"/>
        <w:rPr>
          <w:szCs w:val="24"/>
        </w:rPr>
      </w:pPr>
      <w:r w:rsidRPr="005D0457">
        <w:rPr>
          <w:szCs w:val="24"/>
        </w:rPr>
        <w:t>o</w:t>
      </w:r>
      <w:r w:rsidRPr="005D0457">
        <w:rPr>
          <w:szCs w:val="24"/>
        </w:rPr>
        <w:tab/>
        <w:t xml:space="preserve">Identify systematic programming errors in the software. </w:t>
      </w:r>
    </w:p>
    <w:p w14:paraId="01081EB7" w14:textId="77777777" w:rsidR="001715FB" w:rsidRPr="005D0457" w:rsidRDefault="001715FB" w:rsidP="001715FB">
      <w:pPr>
        <w:pStyle w:val="Bullet10"/>
        <w:spacing w:before="40" w:after="40"/>
        <w:ind w:hanging="360"/>
        <w:rPr>
          <w:szCs w:val="24"/>
        </w:rPr>
      </w:pPr>
      <w:r w:rsidRPr="005D0457">
        <w:rPr>
          <w:szCs w:val="24"/>
        </w:rPr>
        <w:t>o</w:t>
      </w:r>
      <w:r w:rsidRPr="005D0457">
        <w:rPr>
          <w:szCs w:val="24"/>
        </w:rPr>
        <w:tab/>
        <w:t>Identify weaknesses in controls over access, acceptance, and issuance.</w:t>
      </w:r>
    </w:p>
    <w:p w14:paraId="2F8F110C" w14:textId="77777777" w:rsidR="001715FB" w:rsidRPr="005D0457" w:rsidRDefault="001715FB" w:rsidP="001715FB">
      <w:pPr>
        <w:pStyle w:val="Bullet10"/>
        <w:spacing w:before="40" w:after="40"/>
        <w:ind w:hanging="360"/>
        <w:rPr>
          <w:szCs w:val="24"/>
        </w:rPr>
      </w:pPr>
      <w:r w:rsidRPr="005D0457">
        <w:rPr>
          <w:szCs w:val="24"/>
        </w:rPr>
        <w:t>o</w:t>
      </w:r>
      <w:r w:rsidRPr="005D0457">
        <w:rPr>
          <w:szCs w:val="24"/>
        </w:rPr>
        <w:tab/>
        <w:t xml:space="preserve">Identify the susceptibility of the inventory to spoilage and obsolescence.  </w:t>
      </w:r>
    </w:p>
    <w:p w14:paraId="1E8DC68A" w14:textId="77777777" w:rsidR="001715FB" w:rsidRPr="005D0457" w:rsidRDefault="001715FB" w:rsidP="001715FB">
      <w:pPr>
        <w:pStyle w:val="Bullet10"/>
        <w:spacing w:before="40" w:after="40"/>
        <w:ind w:hanging="360"/>
        <w:rPr>
          <w:szCs w:val="24"/>
        </w:rPr>
      </w:pPr>
      <w:r w:rsidRPr="005D0457">
        <w:rPr>
          <w:szCs w:val="24"/>
        </w:rPr>
        <w:t>o</w:t>
      </w:r>
      <w:r w:rsidRPr="005D0457">
        <w:rPr>
          <w:szCs w:val="24"/>
        </w:rPr>
        <w:tab/>
        <w:t>Provide an opportunity to correct the perpetual records for any errors discovered.</w:t>
      </w:r>
    </w:p>
    <w:p w14:paraId="40065E8F" w14:textId="77777777" w:rsidR="001715FB" w:rsidRPr="005D0457" w:rsidRDefault="001715FB" w:rsidP="001715FB">
      <w:pPr>
        <w:keepNext/>
        <w:spacing w:before="40" w:after="40"/>
        <w:rPr>
          <w:szCs w:val="24"/>
        </w:rPr>
      </w:pPr>
      <w:r w:rsidRPr="005D0457">
        <w:rPr>
          <w:szCs w:val="24"/>
        </w:rPr>
        <w:t>When using a perpetual inventory system:</w:t>
      </w:r>
    </w:p>
    <w:p w14:paraId="4F665B8B" w14:textId="77777777" w:rsidR="001715FB" w:rsidRDefault="001715FB" w:rsidP="001715FB">
      <w:pPr>
        <w:pStyle w:val="Bullet10"/>
        <w:keepNext/>
        <w:spacing w:before="40" w:after="40"/>
        <w:ind w:hanging="360"/>
        <w:rPr>
          <w:szCs w:val="24"/>
        </w:rPr>
      </w:pPr>
      <w:r w:rsidRPr="005D0457">
        <w:rPr>
          <w:szCs w:val="24"/>
        </w:rPr>
        <w:t>o</w:t>
      </w:r>
      <w:r w:rsidRPr="005D0457">
        <w:rPr>
          <w:szCs w:val="24"/>
        </w:rPr>
        <w:tab/>
        <w:t xml:space="preserve">Obtain a printout of all inventory items on hand at the date of the physical count.  </w:t>
      </w:r>
      <w:r>
        <w:rPr>
          <w:szCs w:val="24"/>
        </w:rPr>
        <w:t>D</w:t>
      </w:r>
      <w:r w:rsidRPr="005D0457">
        <w:rPr>
          <w:szCs w:val="24"/>
        </w:rPr>
        <w:t xml:space="preserve">o </w:t>
      </w:r>
      <w:r w:rsidRPr="005D0457">
        <w:rPr>
          <w:szCs w:val="24"/>
          <w:u w:val="words"/>
        </w:rPr>
        <w:t>not</w:t>
      </w:r>
      <w:r w:rsidRPr="005D0457">
        <w:rPr>
          <w:szCs w:val="24"/>
        </w:rPr>
        <w:t xml:space="preserve"> show this printout to counters, checkers, or others involved in the physical count.</w:t>
      </w:r>
    </w:p>
    <w:p w14:paraId="24D2BF83" w14:textId="77777777" w:rsidR="001715FB" w:rsidRPr="00601CFB" w:rsidRDefault="001715FB" w:rsidP="001715FB">
      <w:pPr>
        <w:pStyle w:val="Bullet10"/>
        <w:spacing w:before="40" w:after="40"/>
        <w:ind w:hanging="360"/>
      </w:pPr>
      <w:r w:rsidRPr="00601CFB">
        <w:t>o</w:t>
      </w:r>
      <w:r w:rsidRPr="00601CFB">
        <w:tab/>
        <w:t>If the physical count reveals errors in the perpetual inventory system, adjust the perpetual records as soon as possible.</w:t>
      </w:r>
    </w:p>
    <w:p w14:paraId="4409BA2A" w14:textId="77777777" w:rsidR="0040473C" w:rsidRDefault="0040473C" w:rsidP="0040473C">
      <w:pPr>
        <w:ind w:right="-180"/>
        <w:rPr>
          <w:szCs w:val="24"/>
        </w:rPr>
      </w:pPr>
    </w:p>
    <w:p w14:paraId="4437B23A" w14:textId="77777777" w:rsidR="0040473C" w:rsidRDefault="0040473C" w:rsidP="0040473C">
      <w:pPr>
        <w:spacing w:before="0" w:after="200" w:line="276" w:lineRule="auto"/>
        <w:jc w:val="left"/>
        <w:rPr>
          <w:szCs w:val="24"/>
        </w:rPr>
      </w:pPr>
      <w:r>
        <w:rPr>
          <w:szCs w:val="24"/>
        </w:rPr>
        <w:br w:type="page"/>
      </w:r>
    </w:p>
    <w:p w14:paraId="27BD3429" w14:textId="77777777" w:rsidR="0012040B" w:rsidRDefault="0040473C" w:rsidP="003B02BA">
      <w:pPr>
        <w:pStyle w:val="Heading2"/>
      </w:pPr>
      <w:bookmarkStart w:id="395" w:name="_Toc166149301"/>
      <w:r>
        <w:lastRenderedPageBreak/>
        <w:t>EXHIBIT 3.6(B)</w:t>
      </w:r>
      <w:bookmarkEnd w:id="395"/>
    </w:p>
    <w:tbl>
      <w:tblPr>
        <w:tblW w:w="9390" w:type="dxa"/>
        <w:tblInd w:w="93" w:type="dxa"/>
        <w:tblLook w:val="04A0" w:firstRow="1" w:lastRow="0" w:firstColumn="1" w:lastColumn="0" w:noHBand="0" w:noVBand="1"/>
      </w:tblPr>
      <w:tblGrid>
        <w:gridCol w:w="1189"/>
        <w:gridCol w:w="269"/>
        <w:gridCol w:w="1190"/>
        <w:gridCol w:w="270"/>
        <w:gridCol w:w="3168"/>
        <w:gridCol w:w="270"/>
        <w:gridCol w:w="1382"/>
        <w:gridCol w:w="270"/>
        <w:gridCol w:w="1382"/>
      </w:tblGrid>
      <w:tr w:rsidR="0040473C" w:rsidRPr="0008528F" w14:paraId="29F72FA7" w14:textId="77777777" w:rsidTr="00324B55">
        <w:trPr>
          <w:trHeight w:val="255"/>
        </w:trPr>
        <w:tc>
          <w:tcPr>
            <w:tcW w:w="1189" w:type="dxa"/>
            <w:tcBorders>
              <w:top w:val="nil"/>
              <w:left w:val="nil"/>
              <w:bottom w:val="nil"/>
              <w:right w:val="nil"/>
            </w:tcBorders>
            <w:shd w:val="clear" w:color="auto" w:fill="auto"/>
            <w:noWrap/>
            <w:vAlign w:val="bottom"/>
            <w:hideMark/>
          </w:tcPr>
          <w:p w14:paraId="2086E19D"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7189F9E8"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55452A1F"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96DD661"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65C62F63"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F14D53C"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5D454AB1"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464F57B8"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6CE50B80" w14:textId="77777777" w:rsidR="0040473C" w:rsidRPr="0008528F" w:rsidRDefault="0040473C" w:rsidP="00CD1EDD">
            <w:pPr>
              <w:spacing w:before="0" w:after="0"/>
              <w:jc w:val="left"/>
              <w:rPr>
                <w:b/>
                <w:bCs/>
                <w:sz w:val="20"/>
              </w:rPr>
            </w:pPr>
          </w:p>
        </w:tc>
      </w:tr>
      <w:tr w:rsidR="00324B55" w:rsidRPr="0008528F" w14:paraId="111E85D3" w14:textId="77777777" w:rsidTr="00324B55">
        <w:trPr>
          <w:trHeight w:val="315"/>
        </w:trPr>
        <w:tc>
          <w:tcPr>
            <w:tcW w:w="1189" w:type="dxa"/>
            <w:tcBorders>
              <w:top w:val="nil"/>
              <w:left w:val="nil"/>
              <w:bottom w:val="nil"/>
              <w:right w:val="nil"/>
            </w:tcBorders>
            <w:shd w:val="clear" w:color="auto" w:fill="auto"/>
            <w:noWrap/>
            <w:vAlign w:val="bottom"/>
            <w:hideMark/>
          </w:tcPr>
          <w:p w14:paraId="0AEBE0C7" w14:textId="77777777" w:rsidR="00324B55" w:rsidRPr="0008528F" w:rsidRDefault="00324B55"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161AF43C" w14:textId="77777777" w:rsidR="00324B55" w:rsidRPr="0008528F" w:rsidRDefault="00324B55" w:rsidP="00CD1EDD">
            <w:pPr>
              <w:spacing w:before="0" w:after="0"/>
              <w:jc w:val="left"/>
              <w:rPr>
                <w:sz w:val="20"/>
              </w:rPr>
            </w:pPr>
          </w:p>
        </w:tc>
        <w:tc>
          <w:tcPr>
            <w:tcW w:w="6280" w:type="dxa"/>
            <w:gridSpan w:val="5"/>
            <w:tcBorders>
              <w:top w:val="nil"/>
              <w:left w:val="nil"/>
              <w:bottom w:val="nil"/>
              <w:right w:val="nil"/>
            </w:tcBorders>
            <w:shd w:val="clear" w:color="auto" w:fill="auto"/>
            <w:noWrap/>
            <w:vAlign w:val="bottom"/>
            <w:hideMark/>
          </w:tcPr>
          <w:p w14:paraId="23184F48" w14:textId="77777777" w:rsidR="00324B55" w:rsidRPr="0008528F" w:rsidRDefault="00324B55" w:rsidP="00324B55">
            <w:pPr>
              <w:spacing w:before="0" w:after="0"/>
              <w:jc w:val="center"/>
              <w:rPr>
                <w:sz w:val="20"/>
              </w:rPr>
            </w:pPr>
            <w:r w:rsidRPr="0008528F">
              <w:rPr>
                <w:szCs w:val="24"/>
              </w:rPr>
              <w:t>STATE OF SOUTH</w:t>
            </w:r>
            <w:r>
              <w:rPr>
                <w:szCs w:val="24"/>
              </w:rPr>
              <w:t xml:space="preserve"> </w:t>
            </w:r>
            <w:r w:rsidRPr="0008528F">
              <w:rPr>
                <w:szCs w:val="24"/>
              </w:rPr>
              <w:t>CAROLINA</w:t>
            </w:r>
          </w:p>
        </w:tc>
        <w:tc>
          <w:tcPr>
            <w:tcW w:w="270" w:type="dxa"/>
            <w:tcBorders>
              <w:top w:val="nil"/>
              <w:left w:val="nil"/>
              <w:bottom w:val="nil"/>
              <w:right w:val="nil"/>
            </w:tcBorders>
            <w:shd w:val="clear" w:color="auto" w:fill="auto"/>
            <w:noWrap/>
            <w:vAlign w:val="bottom"/>
            <w:hideMark/>
          </w:tcPr>
          <w:p w14:paraId="76A63A72" w14:textId="77777777" w:rsidR="00324B55" w:rsidRPr="0008528F" w:rsidRDefault="00324B55"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621D1794" w14:textId="77777777" w:rsidR="00324B55" w:rsidRPr="0008528F" w:rsidRDefault="00324B55" w:rsidP="00CD1EDD">
            <w:pPr>
              <w:spacing w:before="0" w:after="0"/>
              <w:jc w:val="left"/>
              <w:rPr>
                <w:sz w:val="20"/>
              </w:rPr>
            </w:pPr>
          </w:p>
        </w:tc>
      </w:tr>
      <w:tr w:rsidR="0040473C" w:rsidRPr="0008528F" w14:paraId="4617918A" w14:textId="77777777" w:rsidTr="00324B55">
        <w:trPr>
          <w:trHeight w:val="315"/>
        </w:trPr>
        <w:tc>
          <w:tcPr>
            <w:tcW w:w="1189" w:type="dxa"/>
            <w:tcBorders>
              <w:top w:val="nil"/>
              <w:left w:val="nil"/>
              <w:bottom w:val="nil"/>
              <w:right w:val="nil"/>
            </w:tcBorders>
            <w:shd w:val="clear" w:color="auto" w:fill="auto"/>
            <w:noWrap/>
            <w:vAlign w:val="bottom"/>
            <w:hideMark/>
          </w:tcPr>
          <w:p w14:paraId="5B00A932" w14:textId="77777777" w:rsidR="0040473C" w:rsidRPr="0008528F" w:rsidRDefault="0040473C" w:rsidP="00CD1EDD">
            <w:pPr>
              <w:spacing w:before="0" w:after="0"/>
              <w:jc w:val="left"/>
              <w:rPr>
                <w:sz w:val="20"/>
              </w:rPr>
            </w:pPr>
            <w:bookmarkStart w:id="396" w:name="_Hlk510602614"/>
          </w:p>
        </w:tc>
        <w:tc>
          <w:tcPr>
            <w:tcW w:w="269" w:type="dxa"/>
            <w:tcBorders>
              <w:top w:val="nil"/>
              <w:left w:val="nil"/>
              <w:bottom w:val="nil"/>
              <w:right w:val="nil"/>
            </w:tcBorders>
            <w:shd w:val="clear" w:color="auto" w:fill="auto"/>
            <w:noWrap/>
            <w:vAlign w:val="bottom"/>
            <w:hideMark/>
          </w:tcPr>
          <w:p w14:paraId="4367D02F"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00AA7FEF"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7FA93AC"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52FFE887" w14:textId="77777777" w:rsidR="0040473C" w:rsidRPr="0008528F" w:rsidRDefault="0040473C" w:rsidP="00CD1EDD">
            <w:pPr>
              <w:spacing w:before="0" w:after="0"/>
              <w:jc w:val="center"/>
              <w:rPr>
                <w:szCs w:val="24"/>
              </w:rPr>
            </w:pPr>
            <w:r w:rsidRPr="0008528F">
              <w:rPr>
                <w:szCs w:val="24"/>
              </w:rPr>
              <w:t>SAMPLE AGENCY</w:t>
            </w:r>
          </w:p>
        </w:tc>
        <w:tc>
          <w:tcPr>
            <w:tcW w:w="270" w:type="dxa"/>
            <w:tcBorders>
              <w:top w:val="nil"/>
              <w:left w:val="nil"/>
              <w:bottom w:val="nil"/>
              <w:right w:val="nil"/>
            </w:tcBorders>
            <w:shd w:val="clear" w:color="auto" w:fill="auto"/>
            <w:noWrap/>
            <w:vAlign w:val="bottom"/>
            <w:hideMark/>
          </w:tcPr>
          <w:p w14:paraId="3E886D7B"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12DCCF2B"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C046309"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0F5835E0" w14:textId="77777777" w:rsidR="0040473C" w:rsidRPr="0008528F" w:rsidRDefault="0040473C" w:rsidP="00CD1EDD">
            <w:pPr>
              <w:spacing w:before="0" w:after="0"/>
              <w:jc w:val="left"/>
              <w:rPr>
                <w:sz w:val="20"/>
              </w:rPr>
            </w:pPr>
          </w:p>
        </w:tc>
      </w:tr>
      <w:tr w:rsidR="0040473C" w:rsidRPr="0008528F" w14:paraId="33A51AF8" w14:textId="77777777" w:rsidTr="00324B55">
        <w:trPr>
          <w:trHeight w:val="315"/>
        </w:trPr>
        <w:tc>
          <w:tcPr>
            <w:tcW w:w="1189" w:type="dxa"/>
            <w:tcBorders>
              <w:top w:val="nil"/>
              <w:left w:val="nil"/>
              <w:bottom w:val="nil"/>
              <w:right w:val="nil"/>
            </w:tcBorders>
            <w:shd w:val="clear" w:color="auto" w:fill="auto"/>
            <w:noWrap/>
            <w:vAlign w:val="bottom"/>
            <w:hideMark/>
          </w:tcPr>
          <w:p w14:paraId="113739B2"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0EAD1DFC"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2264087E"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2A6893C"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79EBBD3A" w14:textId="77777777" w:rsidR="0040473C" w:rsidRPr="0008528F" w:rsidRDefault="0040473C" w:rsidP="00CD1EDD">
            <w:pPr>
              <w:spacing w:before="0" w:after="0"/>
              <w:jc w:val="center"/>
              <w:rPr>
                <w:szCs w:val="24"/>
              </w:rPr>
            </w:pPr>
            <w:r w:rsidRPr="0008528F">
              <w:rPr>
                <w:szCs w:val="24"/>
              </w:rPr>
              <w:t>INVENTORY SHEET</w:t>
            </w:r>
          </w:p>
        </w:tc>
        <w:tc>
          <w:tcPr>
            <w:tcW w:w="270" w:type="dxa"/>
            <w:tcBorders>
              <w:top w:val="nil"/>
              <w:left w:val="nil"/>
              <w:bottom w:val="nil"/>
              <w:right w:val="nil"/>
            </w:tcBorders>
            <w:shd w:val="clear" w:color="auto" w:fill="auto"/>
            <w:noWrap/>
            <w:vAlign w:val="bottom"/>
            <w:hideMark/>
          </w:tcPr>
          <w:p w14:paraId="63C752C7"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70BF8E1B"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FBB9EA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5BC1C4BB" w14:textId="77777777" w:rsidR="0040473C" w:rsidRPr="0008528F" w:rsidRDefault="0040473C" w:rsidP="00CD1EDD">
            <w:pPr>
              <w:spacing w:before="0" w:after="0"/>
              <w:jc w:val="left"/>
              <w:rPr>
                <w:sz w:val="20"/>
              </w:rPr>
            </w:pPr>
          </w:p>
        </w:tc>
      </w:tr>
      <w:bookmarkEnd w:id="396"/>
      <w:tr w:rsidR="0040473C" w:rsidRPr="0008528F" w14:paraId="37EEB9A3" w14:textId="77777777" w:rsidTr="00324B55">
        <w:trPr>
          <w:trHeight w:val="255"/>
        </w:trPr>
        <w:tc>
          <w:tcPr>
            <w:tcW w:w="1189" w:type="dxa"/>
            <w:tcBorders>
              <w:top w:val="nil"/>
              <w:left w:val="nil"/>
              <w:bottom w:val="nil"/>
              <w:right w:val="nil"/>
            </w:tcBorders>
            <w:shd w:val="clear" w:color="auto" w:fill="auto"/>
            <w:noWrap/>
            <w:vAlign w:val="bottom"/>
            <w:hideMark/>
          </w:tcPr>
          <w:p w14:paraId="6008582F"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3B2BF6D7"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20A961EF"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1D1EE0C6"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44A1C25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CA8E56A"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675BF4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E37708A"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1FE539FF" w14:textId="77777777" w:rsidR="0040473C" w:rsidRPr="0008528F" w:rsidRDefault="0040473C" w:rsidP="00CD1EDD">
            <w:pPr>
              <w:spacing w:before="0" w:after="0"/>
              <w:jc w:val="left"/>
              <w:rPr>
                <w:sz w:val="20"/>
              </w:rPr>
            </w:pPr>
          </w:p>
        </w:tc>
      </w:tr>
      <w:tr w:rsidR="0040473C" w:rsidRPr="0008528F" w14:paraId="75E8292B" w14:textId="77777777" w:rsidTr="00324B55">
        <w:trPr>
          <w:trHeight w:val="255"/>
        </w:trPr>
        <w:tc>
          <w:tcPr>
            <w:tcW w:w="1189" w:type="dxa"/>
            <w:tcBorders>
              <w:top w:val="nil"/>
              <w:left w:val="nil"/>
              <w:bottom w:val="nil"/>
              <w:right w:val="nil"/>
            </w:tcBorders>
            <w:shd w:val="clear" w:color="auto" w:fill="auto"/>
            <w:noWrap/>
            <w:vAlign w:val="bottom"/>
            <w:hideMark/>
          </w:tcPr>
          <w:p w14:paraId="5C547F6D"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30A950F0"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6A92E6F2"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0B2B100"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023D13BD" w14:textId="77777777" w:rsidR="0040473C" w:rsidRPr="0008528F" w:rsidRDefault="0040473C" w:rsidP="00CD1EDD">
            <w:pPr>
              <w:spacing w:before="0" w:after="0"/>
              <w:jc w:val="left"/>
              <w:rPr>
                <w:sz w:val="20"/>
              </w:rPr>
            </w:pPr>
          </w:p>
        </w:tc>
        <w:tc>
          <w:tcPr>
            <w:tcW w:w="1652" w:type="dxa"/>
            <w:gridSpan w:val="2"/>
            <w:tcBorders>
              <w:top w:val="nil"/>
              <w:left w:val="nil"/>
              <w:bottom w:val="nil"/>
              <w:right w:val="nil"/>
            </w:tcBorders>
            <w:shd w:val="clear" w:color="auto" w:fill="auto"/>
            <w:noWrap/>
            <w:vAlign w:val="bottom"/>
            <w:hideMark/>
          </w:tcPr>
          <w:p w14:paraId="7C2AD8C1" w14:textId="77777777" w:rsidR="0040473C" w:rsidRPr="0008528F" w:rsidRDefault="0040473C" w:rsidP="00CD1EDD">
            <w:pPr>
              <w:spacing w:before="0" w:after="0"/>
              <w:jc w:val="left"/>
              <w:rPr>
                <w:sz w:val="20"/>
              </w:rPr>
            </w:pPr>
            <w:r w:rsidRPr="0008528F">
              <w:rPr>
                <w:sz w:val="20"/>
              </w:rPr>
              <w:t>Control Number:</w:t>
            </w:r>
          </w:p>
        </w:tc>
        <w:tc>
          <w:tcPr>
            <w:tcW w:w="1652" w:type="dxa"/>
            <w:gridSpan w:val="2"/>
            <w:tcBorders>
              <w:top w:val="nil"/>
              <w:left w:val="nil"/>
              <w:bottom w:val="single" w:sz="4" w:space="0" w:color="auto"/>
              <w:right w:val="nil"/>
            </w:tcBorders>
            <w:shd w:val="clear" w:color="auto" w:fill="auto"/>
            <w:noWrap/>
            <w:vAlign w:val="bottom"/>
            <w:hideMark/>
          </w:tcPr>
          <w:p w14:paraId="12CA4C92" w14:textId="77777777" w:rsidR="0040473C" w:rsidRPr="0008528F" w:rsidRDefault="0040473C" w:rsidP="00CD1EDD">
            <w:pPr>
              <w:spacing w:before="0" w:after="0"/>
              <w:jc w:val="left"/>
              <w:rPr>
                <w:sz w:val="20"/>
              </w:rPr>
            </w:pPr>
            <w:r w:rsidRPr="0008528F">
              <w:rPr>
                <w:sz w:val="20"/>
              </w:rPr>
              <w:t> </w:t>
            </w:r>
          </w:p>
        </w:tc>
      </w:tr>
      <w:tr w:rsidR="0040473C" w:rsidRPr="0008528F" w14:paraId="16AB84CE" w14:textId="77777777" w:rsidTr="00324B55">
        <w:trPr>
          <w:trHeight w:val="255"/>
        </w:trPr>
        <w:tc>
          <w:tcPr>
            <w:tcW w:w="1189" w:type="dxa"/>
            <w:tcBorders>
              <w:top w:val="nil"/>
              <w:left w:val="nil"/>
              <w:bottom w:val="nil"/>
              <w:right w:val="nil"/>
            </w:tcBorders>
            <w:shd w:val="clear" w:color="auto" w:fill="auto"/>
            <w:noWrap/>
            <w:vAlign w:val="bottom"/>
            <w:hideMark/>
          </w:tcPr>
          <w:p w14:paraId="6680564C"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647B8F3A"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73329A4E"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756944C"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4F843273"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1D9055F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53DFB88"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5E76958"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9C1461C" w14:textId="77777777" w:rsidR="0040473C" w:rsidRPr="0008528F" w:rsidRDefault="0040473C" w:rsidP="00CD1EDD">
            <w:pPr>
              <w:spacing w:before="0" w:after="0"/>
              <w:jc w:val="left"/>
              <w:rPr>
                <w:sz w:val="20"/>
              </w:rPr>
            </w:pPr>
          </w:p>
        </w:tc>
      </w:tr>
      <w:tr w:rsidR="0040473C" w:rsidRPr="0008528F" w14:paraId="4E3F12DB" w14:textId="77777777" w:rsidTr="00324B55">
        <w:trPr>
          <w:trHeight w:val="315"/>
        </w:trPr>
        <w:tc>
          <w:tcPr>
            <w:tcW w:w="2648" w:type="dxa"/>
            <w:gridSpan w:val="3"/>
            <w:tcBorders>
              <w:top w:val="nil"/>
              <w:left w:val="nil"/>
              <w:bottom w:val="nil"/>
              <w:right w:val="nil"/>
            </w:tcBorders>
            <w:shd w:val="clear" w:color="auto" w:fill="auto"/>
            <w:noWrap/>
            <w:vAlign w:val="bottom"/>
            <w:hideMark/>
          </w:tcPr>
          <w:p w14:paraId="4D128423" w14:textId="77777777" w:rsidR="0040473C" w:rsidRPr="0008528F" w:rsidRDefault="0040473C" w:rsidP="00CD1EDD">
            <w:pPr>
              <w:spacing w:before="0" w:after="0"/>
              <w:jc w:val="left"/>
              <w:rPr>
                <w:sz w:val="20"/>
              </w:rPr>
            </w:pPr>
            <w:r w:rsidRPr="0008528F">
              <w:rPr>
                <w:sz w:val="20"/>
              </w:rPr>
              <w:t>Date of Count:</w:t>
            </w:r>
          </w:p>
        </w:tc>
        <w:tc>
          <w:tcPr>
            <w:tcW w:w="6742" w:type="dxa"/>
            <w:gridSpan w:val="6"/>
            <w:tcBorders>
              <w:top w:val="nil"/>
              <w:left w:val="nil"/>
              <w:bottom w:val="single" w:sz="4" w:space="0" w:color="auto"/>
              <w:right w:val="nil"/>
            </w:tcBorders>
            <w:shd w:val="clear" w:color="auto" w:fill="auto"/>
            <w:noWrap/>
            <w:vAlign w:val="bottom"/>
            <w:hideMark/>
          </w:tcPr>
          <w:p w14:paraId="5A64207C" w14:textId="77777777" w:rsidR="0040473C" w:rsidRPr="0008528F" w:rsidRDefault="0040473C" w:rsidP="00CD1EDD">
            <w:pPr>
              <w:spacing w:before="0" w:after="0"/>
              <w:jc w:val="left"/>
              <w:rPr>
                <w:sz w:val="20"/>
              </w:rPr>
            </w:pPr>
            <w:r w:rsidRPr="0008528F">
              <w:rPr>
                <w:sz w:val="20"/>
              </w:rPr>
              <w:t> </w:t>
            </w:r>
          </w:p>
        </w:tc>
      </w:tr>
      <w:tr w:rsidR="0040473C" w:rsidRPr="0008528F" w14:paraId="090B4C45" w14:textId="77777777" w:rsidTr="00324B55">
        <w:trPr>
          <w:trHeight w:val="315"/>
        </w:trPr>
        <w:tc>
          <w:tcPr>
            <w:tcW w:w="1189" w:type="dxa"/>
            <w:tcBorders>
              <w:top w:val="nil"/>
              <w:left w:val="nil"/>
              <w:bottom w:val="nil"/>
              <w:right w:val="nil"/>
            </w:tcBorders>
            <w:shd w:val="clear" w:color="auto" w:fill="auto"/>
            <w:noWrap/>
            <w:vAlign w:val="bottom"/>
            <w:hideMark/>
          </w:tcPr>
          <w:p w14:paraId="64C34548"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3245C050"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38EF78C8"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5F96194"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5B214B32"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74EB49A"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11733FF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D693C79"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1941B6B7" w14:textId="77777777" w:rsidR="0040473C" w:rsidRPr="0008528F" w:rsidRDefault="0040473C" w:rsidP="00CD1EDD">
            <w:pPr>
              <w:spacing w:before="0" w:after="0"/>
              <w:jc w:val="left"/>
              <w:rPr>
                <w:sz w:val="20"/>
              </w:rPr>
            </w:pPr>
          </w:p>
        </w:tc>
      </w:tr>
      <w:tr w:rsidR="0040473C" w:rsidRPr="0008528F" w14:paraId="4EABB01D" w14:textId="77777777" w:rsidTr="00324B55">
        <w:trPr>
          <w:trHeight w:val="315"/>
        </w:trPr>
        <w:tc>
          <w:tcPr>
            <w:tcW w:w="2648" w:type="dxa"/>
            <w:gridSpan w:val="3"/>
            <w:tcBorders>
              <w:top w:val="nil"/>
              <w:left w:val="nil"/>
              <w:bottom w:val="nil"/>
              <w:right w:val="nil"/>
            </w:tcBorders>
            <w:shd w:val="clear" w:color="auto" w:fill="auto"/>
            <w:noWrap/>
            <w:vAlign w:val="bottom"/>
            <w:hideMark/>
          </w:tcPr>
          <w:p w14:paraId="1179B8FA" w14:textId="77777777" w:rsidR="0040473C" w:rsidRPr="0008528F" w:rsidRDefault="0040473C" w:rsidP="00CD1EDD">
            <w:pPr>
              <w:spacing w:before="0" w:after="0"/>
              <w:jc w:val="left"/>
              <w:rPr>
                <w:sz w:val="20"/>
              </w:rPr>
            </w:pPr>
            <w:r w:rsidRPr="0008528F">
              <w:rPr>
                <w:sz w:val="20"/>
              </w:rPr>
              <w:t>Caller:</w:t>
            </w:r>
          </w:p>
        </w:tc>
        <w:tc>
          <w:tcPr>
            <w:tcW w:w="6742" w:type="dxa"/>
            <w:gridSpan w:val="6"/>
            <w:tcBorders>
              <w:top w:val="nil"/>
              <w:left w:val="nil"/>
              <w:bottom w:val="single" w:sz="4" w:space="0" w:color="auto"/>
              <w:right w:val="nil"/>
            </w:tcBorders>
            <w:shd w:val="clear" w:color="auto" w:fill="auto"/>
            <w:noWrap/>
            <w:vAlign w:val="bottom"/>
            <w:hideMark/>
          </w:tcPr>
          <w:p w14:paraId="05BA145C" w14:textId="77777777" w:rsidR="0040473C" w:rsidRPr="0008528F" w:rsidRDefault="0040473C" w:rsidP="00CD1EDD">
            <w:pPr>
              <w:spacing w:before="0" w:after="0"/>
              <w:jc w:val="left"/>
              <w:rPr>
                <w:sz w:val="20"/>
              </w:rPr>
            </w:pPr>
            <w:r w:rsidRPr="0008528F">
              <w:rPr>
                <w:sz w:val="20"/>
              </w:rPr>
              <w:t> </w:t>
            </w:r>
          </w:p>
        </w:tc>
      </w:tr>
      <w:tr w:rsidR="0040473C" w:rsidRPr="0008528F" w14:paraId="1DD0BD30" w14:textId="77777777" w:rsidTr="00324B55">
        <w:trPr>
          <w:trHeight w:val="315"/>
        </w:trPr>
        <w:tc>
          <w:tcPr>
            <w:tcW w:w="1189" w:type="dxa"/>
            <w:tcBorders>
              <w:top w:val="nil"/>
              <w:left w:val="nil"/>
              <w:bottom w:val="nil"/>
              <w:right w:val="nil"/>
            </w:tcBorders>
            <w:shd w:val="clear" w:color="auto" w:fill="auto"/>
            <w:noWrap/>
            <w:vAlign w:val="bottom"/>
            <w:hideMark/>
          </w:tcPr>
          <w:p w14:paraId="2B902632"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541627F3"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710782AC"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482CE1D1"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7CDFE6F7"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4AC7BFB"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581D158A"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6ED0224D"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1C0D5A4" w14:textId="77777777" w:rsidR="0040473C" w:rsidRPr="0008528F" w:rsidRDefault="0040473C" w:rsidP="00CD1EDD">
            <w:pPr>
              <w:spacing w:before="0" w:after="0"/>
              <w:jc w:val="left"/>
              <w:rPr>
                <w:sz w:val="20"/>
              </w:rPr>
            </w:pPr>
          </w:p>
        </w:tc>
      </w:tr>
      <w:tr w:rsidR="0040473C" w:rsidRPr="0008528F" w14:paraId="3C25CD21" w14:textId="77777777" w:rsidTr="00324B55">
        <w:trPr>
          <w:trHeight w:val="315"/>
        </w:trPr>
        <w:tc>
          <w:tcPr>
            <w:tcW w:w="2648" w:type="dxa"/>
            <w:gridSpan w:val="3"/>
            <w:tcBorders>
              <w:top w:val="nil"/>
              <w:left w:val="nil"/>
              <w:bottom w:val="nil"/>
              <w:right w:val="nil"/>
            </w:tcBorders>
            <w:shd w:val="clear" w:color="auto" w:fill="auto"/>
            <w:noWrap/>
            <w:vAlign w:val="bottom"/>
            <w:hideMark/>
          </w:tcPr>
          <w:p w14:paraId="6BF68E49" w14:textId="77777777" w:rsidR="0040473C" w:rsidRPr="0008528F" w:rsidRDefault="0040473C" w:rsidP="00CD1EDD">
            <w:pPr>
              <w:spacing w:before="0" w:after="0"/>
              <w:jc w:val="left"/>
              <w:rPr>
                <w:sz w:val="20"/>
              </w:rPr>
            </w:pPr>
            <w:r w:rsidRPr="0008528F">
              <w:rPr>
                <w:sz w:val="20"/>
              </w:rPr>
              <w:t>Marker:</w:t>
            </w:r>
          </w:p>
        </w:tc>
        <w:tc>
          <w:tcPr>
            <w:tcW w:w="6742" w:type="dxa"/>
            <w:gridSpan w:val="6"/>
            <w:tcBorders>
              <w:top w:val="nil"/>
              <w:left w:val="nil"/>
              <w:bottom w:val="single" w:sz="4" w:space="0" w:color="auto"/>
              <w:right w:val="nil"/>
            </w:tcBorders>
            <w:shd w:val="clear" w:color="auto" w:fill="auto"/>
            <w:noWrap/>
            <w:vAlign w:val="bottom"/>
            <w:hideMark/>
          </w:tcPr>
          <w:p w14:paraId="6CBD7B08" w14:textId="77777777" w:rsidR="0040473C" w:rsidRPr="0008528F" w:rsidRDefault="0040473C" w:rsidP="00CD1EDD">
            <w:pPr>
              <w:spacing w:before="0" w:after="0"/>
              <w:jc w:val="left"/>
              <w:rPr>
                <w:sz w:val="20"/>
              </w:rPr>
            </w:pPr>
            <w:r w:rsidRPr="0008528F">
              <w:rPr>
                <w:sz w:val="20"/>
              </w:rPr>
              <w:t> </w:t>
            </w:r>
          </w:p>
        </w:tc>
      </w:tr>
      <w:tr w:rsidR="0040473C" w:rsidRPr="0008528F" w14:paraId="3AEF7A16" w14:textId="77777777" w:rsidTr="00324B55">
        <w:trPr>
          <w:trHeight w:val="315"/>
        </w:trPr>
        <w:tc>
          <w:tcPr>
            <w:tcW w:w="1189" w:type="dxa"/>
            <w:tcBorders>
              <w:top w:val="nil"/>
              <w:left w:val="nil"/>
              <w:bottom w:val="nil"/>
              <w:right w:val="nil"/>
            </w:tcBorders>
            <w:shd w:val="clear" w:color="auto" w:fill="auto"/>
            <w:noWrap/>
            <w:vAlign w:val="bottom"/>
            <w:hideMark/>
          </w:tcPr>
          <w:p w14:paraId="113B4222"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2964CF58"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1B73374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E1BEC71"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004A827F"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457CF4A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65C1FB63"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DD5FBF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752F8432" w14:textId="77777777" w:rsidR="0040473C" w:rsidRPr="0008528F" w:rsidRDefault="0040473C" w:rsidP="00CD1EDD">
            <w:pPr>
              <w:spacing w:before="0" w:after="0"/>
              <w:jc w:val="left"/>
              <w:rPr>
                <w:sz w:val="20"/>
              </w:rPr>
            </w:pPr>
          </w:p>
        </w:tc>
      </w:tr>
      <w:tr w:rsidR="00324B55" w:rsidRPr="0008528F" w14:paraId="15EFA7F0" w14:textId="77777777" w:rsidTr="00324B55">
        <w:trPr>
          <w:trHeight w:val="315"/>
        </w:trPr>
        <w:tc>
          <w:tcPr>
            <w:tcW w:w="2648" w:type="dxa"/>
            <w:gridSpan w:val="3"/>
            <w:tcBorders>
              <w:top w:val="nil"/>
              <w:left w:val="nil"/>
              <w:bottom w:val="nil"/>
              <w:right w:val="nil"/>
            </w:tcBorders>
            <w:shd w:val="clear" w:color="auto" w:fill="auto"/>
            <w:noWrap/>
            <w:vAlign w:val="bottom"/>
            <w:hideMark/>
          </w:tcPr>
          <w:p w14:paraId="102B64A7" w14:textId="77777777" w:rsidR="00324B55" w:rsidRPr="0008528F" w:rsidRDefault="00324B55" w:rsidP="00CD1EDD">
            <w:pPr>
              <w:spacing w:before="0" w:after="0"/>
              <w:jc w:val="left"/>
              <w:rPr>
                <w:sz w:val="20"/>
              </w:rPr>
            </w:pPr>
            <w:r w:rsidRPr="0008528F">
              <w:rPr>
                <w:sz w:val="20"/>
              </w:rPr>
              <w:t>Storage Area</w:t>
            </w:r>
            <w:r>
              <w:rPr>
                <w:sz w:val="20"/>
              </w:rPr>
              <w:t xml:space="preserve"> </w:t>
            </w:r>
            <w:r w:rsidRPr="0008528F">
              <w:rPr>
                <w:sz w:val="20"/>
              </w:rPr>
              <w:t>or</w:t>
            </w:r>
          </w:p>
        </w:tc>
        <w:tc>
          <w:tcPr>
            <w:tcW w:w="270" w:type="dxa"/>
            <w:tcBorders>
              <w:top w:val="nil"/>
              <w:left w:val="nil"/>
              <w:bottom w:val="nil"/>
              <w:right w:val="nil"/>
            </w:tcBorders>
            <w:shd w:val="clear" w:color="auto" w:fill="auto"/>
            <w:noWrap/>
            <w:vAlign w:val="bottom"/>
            <w:hideMark/>
          </w:tcPr>
          <w:p w14:paraId="6BC11928" w14:textId="77777777" w:rsidR="00324B55" w:rsidRPr="0008528F" w:rsidRDefault="00324B55"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69EF001A" w14:textId="77777777" w:rsidR="00324B55" w:rsidRPr="0008528F" w:rsidRDefault="00324B55"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10E3C6EE" w14:textId="77777777" w:rsidR="00324B55" w:rsidRPr="0008528F" w:rsidRDefault="00324B55"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0D535801" w14:textId="77777777" w:rsidR="00324B55" w:rsidRPr="0008528F" w:rsidRDefault="00324B55"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163D30A" w14:textId="77777777" w:rsidR="00324B55" w:rsidRPr="0008528F" w:rsidRDefault="00324B55"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7DA3F4B4" w14:textId="77777777" w:rsidR="00324B55" w:rsidRPr="0008528F" w:rsidRDefault="00324B55" w:rsidP="00CD1EDD">
            <w:pPr>
              <w:spacing w:before="0" w:after="0"/>
              <w:jc w:val="left"/>
              <w:rPr>
                <w:sz w:val="20"/>
              </w:rPr>
            </w:pPr>
          </w:p>
        </w:tc>
      </w:tr>
      <w:tr w:rsidR="0040473C" w:rsidRPr="0008528F" w14:paraId="30ABB571" w14:textId="77777777" w:rsidTr="00324B55">
        <w:trPr>
          <w:trHeight w:val="315"/>
        </w:trPr>
        <w:tc>
          <w:tcPr>
            <w:tcW w:w="2648" w:type="dxa"/>
            <w:gridSpan w:val="3"/>
            <w:tcBorders>
              <w:top w:val="nil"/>
              <w:left w:val="nil"/>
              <w:bottom w:val="nil"/>
              <w:right w:val="nil"/>
            </w:tcBorders>
            <w:shd w:val="clear" w:color="auto" w:fill="auto"/>
            <w:noWrap/>
            <w:vAlign w:val="bottom"/>
            <w:hideMark/>
          </w:tcPr>
          <w:p w14:paraId="260A501F" w14:textId="77777777" w:rsidR="0040473C" w:rsidRPr="0008528F" w:rsidRDefault="0040473C" w:rsidP="00CD1EDD">
            <w:pPr>
              <w:spacing w:before="0" w:after="0"/>
              <w:jc w:val="left"/>
              <w:rPr>
                <w:sz w:val="20"/>
              </w:rPr>
            </w:pPr>
            <w:r w:rsidRPr="0008528F">
              <w:rPr>
                <w:sz w:val="20"/>
              </w:rPr>
              <w:t>Warehouse Name:</w:t>
            </w:r>
          </w:p>
        </w:tc>
        <w:tc>
          <w:tcPr>
            <w:tcW w:w="6742" w:type="dxa"/>
            <w:gridSpan w:val="6"/>
            <w:tcBorders>
              <w:top w:val="nil"/>
              <w:left w:val="nil"/>
              <w:bottom w:val="single" w:sz="4" w:space="0" w:color="auto"/>
              <w:right w:val="nil"/>
            </w:tcBorders>
            <w:shd w:val="clear" w:color="auto" w:fill="auto"/>
            <w:noWrap/>
            <w:vAlign w:val="bottom"/>
            <w:hideMark/>
          </w:tcPr>
          <w:p w14:paraId="74B075FF" w14:textId="77777777" w:rsidR="0040473C" w:rsidRPr="0008528F" w:rsidRDefault="0040473C" w:rsidP="00CD1EDD">
            <w:pPr>
              <w:spacing w:before="0" w:after="0"/>
              <w:jc w:val="left"/>
              <w:rPr>
                <w:sz w:val="20"/>
              </w:rPr>
            </w:pPr>
            <w:r w:rsidRPr="0008528F">
              <w:rPr>
                <w:sz w:val="20"/>
              </w:rPr>
              <w:t> </w:t>
            </w:r>
          </w:p>
        </w:tc>
      </w:tr>
      <w:tr w:rsidR="0040473C" w:rsidRPr="0008528F" w14:paraId="68AB734C" w14:textId="77777777" w:rsidTr="00324B55">
        <w:trPr>
          <w:trHeight w:val="255"/>
        </w:trPr>
        <w:tc>
          <w:tcPr>
            <w:tcW w:w="1189" w:type="dxa"/>
            <w:tcBorders>
              <w:top w:val="nil"/>
              <w:left w:val="nil"/>
              <w:bottom w:val="nil"/>
              <w:right w:val="nil"/>
            </w:tcBorders>
            <w:shd w:val="clear" w:color="auto" w:fill="auto"/>
            <w:noWrap/>
            <w:vAlign w:val="bottom"/>
            <w:hideMark/>
          </w:tcPr>
          <w:p w14:paraId="465C88FE"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6700430D"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10192E3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10E4A9F"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0C51856A"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E77EA35"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960BDA8"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1F58BE09"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2A7F173E" w14:textId="77777777" w:rsidR="0040473C" w:rsidRPr="0008528F" w:rsidRDefault="0040473C" w:rsidP="00CD1EDD">
            <w:pPr>
              <w:spacing w:before="0" w:after="0"/>
              <w:jc w:val="left"/>
              <w:rPr>
                <w:sz w:val="20"/>
              </w:rPr>
            </w:pPr>
          </w:p>
        </w:tc>
      </w:tr>
      <w:tr w:rsidR="0040473C" w:rsidRPr="0008528F" w14:paraId="07CCD4FF" w14:textId="77777777" w:rsidTr="00324B55">
        <w:trPr>
          <w:trHeight w:val="255"/>
        </w:trPr>
        <w:tc>
          <w:tcPr>
            <w:tcW w:w="1189" w:type="dxa"/>
            <w:tcBorders>
              <w:top w:val="nil"/>
              <w:left w:val="nil"/>
              <w:bottom w:val="nil"/>
              <w:right w:val="nil"/>
            </w:tcBorders>
            <w:shd w:val="clear" w:color="auto" w:fill="auto"/>
            <w:noWrap/>
            <w:vAlign w:val="bottom"/>
            <w:hideMark/>
          </w:tcPr>
          <w:p w14:paraId="14731948"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1E9D9D80"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1FAFEFC6"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B8E4237"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5B8F162A"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1B522F76"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3AF3926A"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D44D077"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3FE248C" w14:textId="77777777" w:rsidR="0040473C" w:rsidRPr="0008528F" w:rsidRDefault="0040473C" w:rsidP="00CD1EDD">
            <w:pPr>
              <w:spacing w:before="0" w:after="0"/>
              <w:jc w:val="left"/>
              <w:rPr>
                <w:sz w:val="20"/>
              </w:rPr>
            </w:pPr>
          </w:p>
        </w:tc>
      </w:tr>
      <w:tr w:rsidR="0040473C" w:rsidRPr="0008528F" w14:paraId="6D8AACEF" w14:textId="77777777" w:rsidTr="00324B55">
        <w:trPr>
          <w:trHeight w:val="510"/>
        </w:trPr>
        <w:tc>
          <w:tcPr>
            <w:tcW w:w="1189" w:type="dxa"/>
            <w:tcBorders>
              <w:top w:val="nil"/>
              <w:left w:val="nil"/>
              <w:bottom w:val="single" w:sz="4" w:space="0" w:color="auto"/>
              <w:right w:val="nil"/>
            </w:tcBorders>
            <w:shd w:val="clear" w:color="auto" w:fill="auto"/>
            <w:vAlign w:val="bottom"/>
            <w:hideMark/>
          </w:tcPr>
          <w:p w14:paraId="5813EEB6" w14:textId="77777777" w:rsidR="0040473C" w:rsidRPr="0008528F" w:rsidRDefault="0040473C" w:rsidP="00CD1EDD">
            <w:pPr>
              <w:spacing w:before="0" w:after="0"/>
              <w:jc w:val="center"/>
              <w:rPr>
                <w:sz w:val="20"/>
              </w:rPr>
            </w:pPr>
            <w:r w:rsidRPr="0008528F">
              <w:rPr>
                <w:sz w:val="20"/>
              </w:rPr>
              <w:t>Location Code</w:t>
            </w:r>
          </w:p>
        </w:tc>
        <w:tc>
          <w:tcPr>
            <w:tcW w:w="269" w:type="dxa"/>
            <w:tcBorders>
              <w:top w:val="nil"/>
              <w:left w:val="nil"/>
              <w:bottom w:val="nil"/>
              <w:right w:val="nil"/>
            </w:tcBorders>
            <w:shd w:val="clear" w:color="auto" w:fill="auto"/>
            <w:noWrap/>
            <w:vAlign w:val="bottom"/>
            <w:hideMark/>
          </w:tcPr>
          <w:p w14:paraId="0FB99F2D"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vAlign w:val="bottom"/>
            <w:hideMark/>
          </w:tcPr>
          <w:p w14:paraId="5F1C39C4" w14:textId="77777777" w:rsidR="0040473C" w:rsidRPr="0008528F" w:rsidRDefault="0040473C" w:rsidP="00CD1EDD">
            <w:pPr>
              <w:spacing w:before="0" w:after="0"/>
              <w:jc w:val="center"/>
              <w:rPr>
                <w:sz w:val="20"/>
              </w:rPr>
            </w:pPr>
            <w:r w:rsidRPr="0008528F">
              <w:rPr>
                <w:sz w:val="20"/>
              </w:rPr>
              <w:t>Item           Code</w:t>
            </w:r>
          </w:p>
        </w:tc>
        <w:tc>
          <w:tcPr>
            <w:tcW w:w="270" w:type="dxa"/>
            <w:tcBorders>
              <w:top w:val="nil"/>
              <w:left w:val="nil"/>
              <w:bottom w:val="nil"/>
              <w:right w:val="nil"/>
            </w:tcBorders>
            <w:shd w:val="clear" w:color="auto" w:fill="auto"/>
            <w:noWrap/>
            <w:vAlign w:val="bottom"/>
            <w:hideMark/>
          </w:tcPr>
          <w:p w14:paraId="58E10BCA"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4C8E1A53" w14:textId="77777777" w:rsidR="0040473C" w:rsidRPr="0008528F" w:rsidRDefault="0040473C" w:rsidP="00CD1EDD">
            <w:pPr>
              <w:spacing w:before="0" w:after="0"/>
              <w:jc w:val="center"/>
              <w:rPr>
                <w:sz w:val="20"/>
              </w:rPr>
            </w:pPr>
            <w:r w:rsidRPr="0008528F">
              <w:rPr>
                <w:sz w:val="20"/>
              </w:rPr>
              <w:t>Item Description</w:t>
            </w:r>
          </w:p>
        </w:tc>
        <w:tc>
          <w:tcPr>
            <w:tcW w:w="270" w:type="dxa"/>
            <w:tcBorders>
              <w:top w:val="nil"/>
              <w:left w:val="nil"/>
              <w:bottom w:val="nil"/>
              <w:right w:val="nil"/>
            </w:tcBorders>
            <w:shd w:val="clear" w:color="auto" w:fill="auto"/>
            <w:noWrap/>
            <w:vAlign w:val="bottom"/>
            <w:hideMark/>
          </w:tcPr>
          <w:p w14:paraId="0294C91C"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20F3DA51" w14:textId="77777777" w:rsidR="0040473C" w:rsidRPr="0008528F" w:rsidRDefault="0040473C" w:rsidP="00CD1EDD">
            <w:pPr>
              <w:spacing w:before="0" w:after="0"/>
              <w:jc w:val="center"/>
              <w:rPr>
                <w:sz w:val="20"/>
              </w:rPr>
            </w:pPr>
            <w:r w:rsidRPr="0008528F">
              <w:rPr>
                <w:sz w:val="20"/>
              </w:rPr>
              <w:t>Units</w:t>
            </w:r>
          </w:p>
        </w:tc>
        <w:tc>
          <w:tcPr>
            <w:tcW w:w="270" w:type="dxa"/>
            <w:tcBorders>
              <w:top w:val="nil"/>
              <w:left w:val="nil"/>
              <w:bottom w:val="nil"/>
              <w:right w:val="nil"/>
            </w:tcBorders>
            <w:shd w:val="clear" w:color="auto" w:fill="auto"/>
            <w:noWrap/>
            <w:vAlign w:val="bottom"/>
            <w:hideMark/>
          </w:tcPr>
          <w:p w14:paraId="460B102C"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vAlign w:val="bottom"/>
            <w:hideMark/>
          </w:tcPr>
          <w:p w14:paraId="3178420D" w14:textId="77777777" w:rsidR="0040473C" w:rsidRPr="0008528F" w:rsidRDefault="0040473C" w:rsidP="00CD1EDD">
            <w:pPr>
              <w:spacing w:before="0" w:after="0"/>
              <w:jc w:val="center"/>
              <w:rPr>
                <w:sz w:val="20"/>
              </w:rPr>
            </w:pPr>
            <w:r w:rsidRPr="0008528F">
              <w:rPr>
                <w:sz w:val="20"/>
              </w:rPr>
              <w:t>Counted Quantity</w:t>
            </w:r>
          </w:p>
        </w:tc>
      </w:tr>
      <w:tr w:rsidR="0040473C" w:rsidRPr="0008528F" w14:paraId="45614114" w14:textId="77777777" w:rsidTr="00324B55">
        <w:trPr>
          <w:trHeight w:val="255"/>
        </w:trPr>
        <w:tc>
          <w:tcPr>
            <w:tcW w:w="1189" w:type="dxa"/>
            <w:tcBorders>
              <w:top w:val="nil"/>
              <w:left w:val="nil"/>
              <w:bottom w:val="nil"/>
              <w:right w:val="nil"/>
            </w:tcBorders>
            <w:shd w:val="clear" w:color="auto" w:fill="auto"/>
            <w:noWrap/>
            <w:vAlign w:val="bottom"/>
            <w:hideMark/>
          </w:tcPr>
          <w:p w14:paraId="7C194036"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6FC14D54"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65C0772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3A78203"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6C337013"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C5F7195"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4950B2A"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4DA2047"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5F150B59" w14:textId="77777777" w:rsidR="0040473C" w:rsidRPr="0008528F" w:rsidRDefault="0040473C" w:rsidP="00CD1EDD">
            <w:pPr>
              <w:spacing w:before="0" w:after="0"/>
              <w:jc w:val="left"/>
              <w:rPr>
                <w:sz w:val="20"/>
              </w:rPr>
            </w:pPr>
          </w:p>
        </w:tc>
      </w:tr>
      <w:tr w:rsidR="0040473C" w:rsidRPr="0008528F" w14:paraId="2056805B"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3F0A7DBF"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1086EE4B"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237067EC"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2A4F96D0"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4A596761"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62DFC875"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3E1A10A3"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08FD18C8"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70AC62C8" w14:textId="77777777" w:rsidR="0040473C" w:rsidRPr="0008528F" w:rsidRDefault="0040473C" w:rsidP="00CD1EDD">
            <w:pPr>
              <w:spacing w:before="0" w:after="0"/>
              <w:jc w:val="left"/>
              <w:rPr>
                <w:sz w:val="20"/>
              </w:rPr>
            </w:pPr>
            <w:r w:rsidRPr="0008528F">
              <w:rPr>
                <w:sz w:val="20"/>
              </w:rPr>
              <w:t> </w:t>
            </w:r>
          </w:p>
        </w:tc>
      </w:tr>
      <w:tr w:rsidR="0040473C" w:rsidRPr="0008528F" w14:paraId="71A17A8D" w14:textId="77777777" w:rsidTr="00324B55">
        <w:trPr>
          <w:trHeight w:val="255"/>
        </w:trPr>
        <w:tc>
          <w:tcPr>
            <w:tcW w:w="1189" w:type="dxa"/>
            <w:tcBorders>
              <w:top w:val="nil"/>
              <w:left w:val="nil"/>
              <w:bottom w:val="nil"/>
              <w:right w:val="nil"/>
            </w:tcBorders>
            <w:shd w:val="clear" w:color="auto" w:fill="auto"/>
            <w:noWrap/>
            <w:vAlign w:val="bottom"/>
            <w:hideMark/>
          </w:tcPr>
          <w:p w14:paraId="3186D38A"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1C6E1C9E"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474C97D0"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6068EC2A"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3438ECC9"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6E0B995"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763C4571"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14108B9"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36F860AC" w14:textId="77777777" w:rsidR="0040473C" w:rsidRPr="0008528F" w:rsidRDefault="0040473C" w:rsidP="00CD1EDD">
            <w:pPr>
              <w:spacing w:before="0" w:after="0"/>
              <w:jc w:val="left"/>
              <w:rPr>
                <w:sz w:val="20"/>
              </w:rPr>
            </w:pPr>
          </w:p>
        </w:tc>
      </w:tr>
      <w:tr w:rsidR="0040473C" w:rsidRPr="0008528F" w14:paraId="15C6710D"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5AE7773F"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7CD687D2"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4D257E9F"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32777301"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2B83ADA7"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75A9B3A9"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A5E4BFD"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5E95EA79"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3850FB53" w14:textId="77777777" w:rsidR="0040473C" w:rsidRPr="0008528F" w:rsidRDefault="0040473C" w:rsidP="00CD1EDD">
            <w:pPr>
              <w:spacing w:before="0" w:after="0"/>
              <w:jc w:val="left"/>
              <w:rPr>
                <w:sz w:val="20"/>
              </w:rPr>
            </w:pPr>
            <w:r w:rsidRPr="0008528F">
              <w:rPr>
                <w:sz w:val="20"/>
              </w:rPr>
              <w:t> </w:t>
            </w:r>
          </w:p>
        </w:tc>
      </w:tr>
      <w:tr w:rsidR="0040473C" w:rsidRPr="0008528F" w14:paraId="326E15DB" w14:textId="77777777" w:rsidTr="00324B55">
        <w:trPr>
          <w:trHeight w:val="255"/>
        </w:trPr>
        <w:tc>
          <w:tcPr>
            <w:tcW w:w="1189" w:type="dxa"/>
            <w:tcBorders>
              <w:top w:val="nil"/>
              <w:left w:val="nil"/>
              <w:bottom w:val="nil"/>
              <w:right w:val="nil"/>
            </w:tcBorders>
            <w:shd w:val="clear" w:color="auto" w:fill="auto"/>
            <w:noWrap/>
            <w:vAlign w:val="bottom"/>
            <w:hideMark/>
          </w:tcPr>
          <w:p w14:paraId="78EBC7A7"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085739E6"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1554D325"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234FAD2"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758735F5"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F2DF8F4"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01B499B6"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8799245"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3AED088E" w14:textId="77777777" w:rsidR="0040473C" w:rsidRPr="0008528F" w:rsidRDefault="0040473C" w:rsidP="00CD1EDD">
            <w:pPr>
              <w:spacing w:before="0" w:after="0"/>
              <w:jc w:val="left"/>
              <w:rPr>
                <w:sz w:val="20"/>
              </w:rPr>
            </w:pPr>
          </w:p>
        </w:tc>
      </w:tr>
      <w:tr w:rsidR="0040473C" w:rsidRPr="0008528F" w14:paraId="6B627EC2"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44493ACA"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4861351E"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543FA2A7"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284FC9F2"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18030443"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46C72C6C"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61FFF9E8"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34232ED8"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44C8EE15" w14:textId="77777777" w:rsidR="0040473C" w:rsidRPr="0008528F" w:rsidRDefault="0040473C" w:rsidP="00CD1EDD">
            <w:pPr>
              <w:spacing w:before="0" w:after="0"/>
              <w:jc w:val="left"/>
              <w:rPr>
                <w:sz w:val="20"/>
              </w:rPr>
            </w:pPr>
            <w:r w:rsidRPr="0008528F">
              <w:rPr>
                <w:sz w:val="20"/>
              </w:rPr>
              <w:t> </w:t>
            </w:r>
          </w:p>
        </w:tc>
      </w:tr>
      <w:tr w:rsidR="0040473C" w:rsidRPr="0008528F" w14:paraId="03F4E361" w14:textId="77777777" w:rsidTr="00324B55">
        <w:trPr>
          <w:trHeight w:val="255"/>
        </w:trPr>
        <w:tc>
          <w:tcPr>
            <w:tcW w:w="1189" w:type="dxa"/>
            <w:tcBorders>
              <w:top w:val="nil"/>
              <w:left w:val="nil"/>
              <w:bottom w:val="nil"/>
              <w:right w:val="nil"/>
            </w:tcBorders>
            <w:shd w:val="clear" w:color="auto" w:fill="auto"/>
            <w:noWrap/>
            <w:vAlign w:val="bottom"/>
            <w:hideMark/>
          </w:tcPr>
          <w:p w14:paraId="3CA5BE3B"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3D7FAAAF"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65C3DFD4"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66EA335"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7D77DDE6"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A88C2DA"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6BA8209A"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BF79414"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53F89EE7" w14:textId="77777777" w:rsidR="0040473C" w:rsidRPr="0008528F" w:rsidRDefault="0040473C" w:rsidP="00CD1EDD">
            <w:pPr>
              <w:spacing w:before="0" w:after="0"/>
              <w:jc w:val="left"/>
              <w:rPr>
                <w:sz w:val="20"/>
              </w:rPr>
            </w:pPr>
          </w:p>
        </w:tc>
      </w:tr>
      <w:tr w:rsidR="0040473C" w:rsidRPr="0008528F" w14:paraId="3FCC78DE"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64C3C372"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452DE9FE"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0D769F9A"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1AD580C2"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0BB95398"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5FC89BC6"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2E0CE58E"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3FCF3E45"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C94B410" w14:textId="77777777" w:rsidR="0040473C" w:rsidRPr="0008528F" w:rsidRDefault="0040473C" w:rsidP="00CD1EDD">
            <w:pPr>
              <w:spacing w:before="0" w:after="0"/>
              <w:jc w:val="left"/>
              <w:rPr>
                <w:sz w:val="20"/>
              </w:rPr>
            </w:pPr>
            <w:r w:rsidRPr="0008528F">
              <w:rPr>
                <w:sz w:val="20"/>
              </w:rPr>
              <w:t> </w:t>
            </w:r>
          </w:p>
        </w:tc>
      </w:tr>
      <w:tr w:rsidR="0040473C" w:rsidRPr="0008528F" w14:paraId="638A68E6" w14:textId="77777777" w:rsidTr="00324B55">
        <w:trPr>
          <w:trHeight w:val="255"/>
        </w:trPr>
        <w:tc>
          <w:tcPr>
            <w:tcW w:w="1189" w:type="dxa"/>
            <w:tcBorders>
              <w:top w:val="nil"/>
              <w:left w:val="nil"/>
              <w:bottom w:val="nil"/>
              <w:right w:val="nil"/>
            </w:tcBorders>
            <w:shd w:val="clear" w:color="auto" w:fill="auto"/>
            <w:noWrap/>
            <w:vAlign w:val="bottom"/>
            <w:hideMark/>
          </w:tcPr>
          <w:p w14:paraId="2245B930"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67DE266D"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50750215"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3DDBB58"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5C68DF08"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E411B5C"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62C37003"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EAD09E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F6151C2" w14:textId="77777777" w:rsidR="0040473C" w:rsidRPr="0008528F" w:rsidRDefault="0040473C" w:rsidP="00CD1EDD">
            <w:pPr>
              <w:spacing w:before="0" w:after="0"/>
              <w:jc w:val="left"/>
              <w:rPr>
                <w:sz w:val="20"/>
              </w:rPr>
            </w:pPr>
          </w:p>
        </w:tc>
      </w:tr>
      <w:tr w:rsidR="0040473C" w:rsidRPr="0008528F" w14:paraId="14606452"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4FE72F32"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730A83BA"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756C6C5B"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5B85CD94"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372C7D9C"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40DB9127"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425C69F2"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6E594E84"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7326037A" w14:textId="77777777" w:rsidR="0040473C" w:rsidRPr="0008528F" w:rsidRDefault="0040473C" w:rsidP="00CD1EDD">
            <w:pPr>
              <w:spacing w:before="0" w:after="0"/>
              <w:jc w:val="left"/>
              <w:rPr>
                <w:sz w:val="20"/>
              </w:rPr>
            </w:pPr>
            <w:r w:rsidRPr="0008528F">
              <w:rPr>
                <w:sz w:val="20"/>
              </w:rPr>
              <w:t> </w:t>
            </w:r>
          </w:p>
        </w:tc>
      </w:tr>
      <w:tr w:rsidR="0040473C" w:rsidRPr="0008528F" w14:paraId="202D77D3" w14:textId="77777777" w:rsidTr="00324B55">
        <w:trPr>
          <w:trHeight w:val="255"/>
        </w:trPr>
        <w:tc>
          <w:tcPr>
            <w:tcW w:w="1189" w:type="dxa"/>
            <w:tcBorders>
              <w:top w:val="nil"/>
              <w:left w:val="nil"/>
              <w:bottom w:val="nil"/>
              <w:right w:val="nil"/>
            </w:tcBorders>
            <w:shd w:val="clear" w:color="auto" w:fill="auto"/>
            <w:noWrap/>
            <w:vAlign w:val="bottom"/>
            <w:hideMark/>
          </w:tcPr>
          <w:p w14:paraId="50F56126"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709CD3F5"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4B7C4016"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8B35CFD"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14033D50"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B53F30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3E9EA8D6"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67BFDF0C"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6DCD03C" w14:textId="77777777" w:rsidR="0040473C" w:rsidRPr="0008528F" w:rsidRDefault="0040473C" w:rsidP="00CD1EDD">
            <w:pPr>
              <w:spacing w:before="0" w:after="0"/>
              <w:jc w:val="left"/>
              <w:rPr>
                <w:sz w:val="20"/>
              </w:rPr>
            </w:pPr>
          </w:p>
        </w:tc>
      </w:tr>
      <w:tr w:rsidR="0040473C" w:rsidRPr="0008528F" w14:paraId="49BD9F05"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0B5A8DF5"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2C049B3D"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47C44595"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4FAE3779"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69930EB2"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49A7B887"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425EE22B"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4D175E44"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14883DF5" w14:textId="77777777" w:rsidR="0040473C" w:rsidRPr="0008528F" w:rsidRDefault="0040473C" w:rsidP="00CD1EDD">
            <w:pPr>
              <w:spacing w:before="0" w:after="0"/>
              <w:jc w:val="left"/>
              <w:rPr>
                <w:sz w:val="20"/>
              </w:rPr>
            </w:pPr>
            <w:r w:rsidRPr="0008528F">
              <w:rPr>
                <w:sz w:val="20"/>
              </w:rPr>
              <w:t> </w:t>
            </w:r>
          </w:p>
        </w:tc>
      </w:tr>
      <w:tr w:rsidR="0040473C" w:rsidRPr="0008528F" w14:paraId="1777948B" w14:textId="77777777" w:rsidTr="00324B55">
        <w:trPr>
          <w:trHeight w:val="255"/>
        </w:trPr>
        <w:tc>
          <w:tcPr>
            <w:tcW w:w="1189" w:type="dxa"/>
            <w:tcBorders>
              <w:top w:val="nil"/>
              <w:left w:val="nil"/>
              <w:bottom w:val="nil"/>
              <w:right w:val="nil"/>
            </w:tcBorders>
            <w:shd w:val="clear" w:color="auto" w:fill="auto"/>
            <w:noWrap/>
            <w:vAlign w:val="bottom"/>
            <w:hideMark/>
          </w:tcPr>
          <w:p w14:paraId="0A8A5371"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77AFDA9B"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3062743B"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4C11C217"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604FD135"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119CAD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0586E210"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29B3863"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37CEE6C3" w14:textId="77777777" w:rsidR="0040473C" w:rsidRPr="0008528F" w:rsidRDefault="0040473C" w:rsidP="00CD1EDD">
            <w:pPr>
              <w:spacing w:before="0" w:after="0"/>
              <w:jc w:val="left"/>
              <w:rPr>
                <w:sz w:val="20"/>
              </w:rPr>
            </w:pPr>
          </w:p>
        </w:tc>
      </w:tr>
      <w:tr w:rsidR="0040473C" w:rsidRPr="0008528F" w14:paraId="050B0936"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618A59D5"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13A52935"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422A8E27"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759C34F9"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04A92740"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68538037"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666AA022"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238E369C"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21D1B49F" w14:textId="77777777" w:rsidR="0040473C" w:rsidRPr="0008528F" w:rsidRDefault="0040473C" w:rsidP="00CD1EDD">
            <w:pPr>
              <w:spacing w:before="0" w:after="0"/>
              <w:jc w:val="left"/>
              <w:rPr>
                <w:sz w:val="20"/>
              </w:rPr>
            </w:pPr>
            <w:r w:rsidRPr="0008528F">
              <w:rPr>
                <w:sz w:val="20"/>
              </w:rPr>
              <w:t> </w:t>
            </w:r>
          </w:p>
        </w:tc>
      </w:tr>
      <w:tr w:rsidR="0040473C" w:rsidRPr="0008528F" w14:paraId="52DBC050" w14:textId="77777777" w:rsidTr="00324B55">
        <w:trPr>
          <w:trHeight w:val="255"/>
        </w:trPr>
        <w:tc>
          <w:tcPr>
            <w:tcW w:w="1189" w:type="dxa"/>
            <w:tcBorders>
              <w:top w:val="nil"/>
              <w:left w:val="nil"/>
              <w:bottom w:val="nil"/>
              <w:right w:val="nil"/>
            </w:tcBorders>
            <w:shd w:val="clear" w:color="auto" w:fill="auto"/>
            <w:noWrap/>
            <w:vAlign w:val="bottom"/>
            <w:hideMark/>
          </w:tcPr>
          <w:p w14:paraId="136D211B"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5C9BBD08"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5DAFCCE6"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C546A19"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0D77130F"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C22CEFD"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E6B7DA7"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0CC03CEC"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45EDE7A0" w14:textId="77777777" w:rsidR="0040473C" w:rsidRPr="0008528F" w:rsidRDefault="0040473C" w:rsidP="00CD1EDD">
            <w:pPr>
              <w:spacing w:before="0" w:after="0"/>
              <w:jc w:val="left"/>
              <w:rPr>
                <w:sz w:val="20"/>
              </w:rPr>
            </w:pPr>
          </w:p>
        </w:tc>
      </w:tr>
      <w:tr w:rsidR="0040473C" w:rsidRPr="0008528F" w14:paraId="26753C6D"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536D9913"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2E9649D7"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569B9213"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293FBBFE"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0D1BD7FE"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0039E127"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477F3949"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76C56E20"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F1EAA3A" w14:textId="77777777" w:rsidR="0040473C" w:rsidRPr="0008528F" w:rsidRDefault="0040473C" w:rsidP="00CD1EDD">
            <w:pPr>
              <w:spacing w:before="0" w:after="0"/>
              <w:jc w:val="left"/>
              <w:rPr>
                <w:sz w:val="20"/>
              </w:rPr>
            </w:pPr>
            <w:r w:rsidRPr="0008528F">
              <w:rPr>
                <w:sz w:val="20"/>
              </w:rPr>
              <w:t> </w:t>
            </w:r>
          </w:p>
        </w:tc>
      </w:tr>
      <w:tr w:rsidR="0040473C" w:rsidRPr="0008528F" w14:paraId="55ABE837" w14:textId="77777777" w:rsidTr="00324B55">
        <w:trPr>
          <w:trHeight w:val="255"/>
        </w:trPr>
        <w:tc>
          <w:tcPr>
            <w:tcW w:w="1189" w:type="dxa"/>
            <w:tcBorders>
              <w:top w:val="nil"/>
              <w:left w:val="nil"/>
              <w:bottom w:val="nil"/>
              <w:right w:val="nil"/>
            </w:tcBorders>
            <w:shd w:val="clear" w:color="auto" w:fill="auto"/>
            <w:noWrap/>
            <w:vAlign w:val="bottom"/>
            <w:hideMark/>
          </w:tcPr>
          <w:p w14:paraId="7A9BF4C4"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4C09F4DE"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3503D79E"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6F73A29C"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42322F30"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1A49094D"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7EF67FAC"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518CEC3C"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264F924A" w14:textId="77777777" w:rsidR="0040473C" w:rsidRPr="0008528F" w:rsidRDefault="0040473C" w:rsidP="00CD1EDD">
            <w:pPr>
              <w:spacing w:before="0" w:after="0"/>
              <w:jc w:val="left"/>
              <w:rPr>
                <w:sz w:val="20"/>
              </w:rPr>
            </w:pPr>
          </w:p>
        </w:tc>
      </w:tr>
      <w:tr w:rsidR="0040473C" w:rsidRPr="0008528F" w14:paraId="3ACB1DEA"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3EF85CD3"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590DD222"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02434722"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6A0CA297"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01C66064"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326C852A"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83D75E1"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38DFE625"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08CF622" w14:textId="77777777" w:rsidR="0040473C" w:rsidRPr="0008528F" w:rsidRDefault="0040473C" w:rsidP="00CD1EDD">
            <w:pPr>
              <w:spacing w:before="0" w:after="0"/>
              <w:jc w:val="left"/>
              <w:rPr>
                <w:sz w:val="20"/>
              </w:rPr>
            </w:pPr>
            <w:r w:rsidRPr="0008528F">
              <w:rPr>
                <w:sz w:val="20"/>
              </w:rPr>
              <w:t> </w:t>
            </w:r>
          </w:p>
        </w:tc>
      </w:tr>
      <w:tr w:rsidR="0040473C" w:rsidRPr="0008528F" w14:paraId="6B2CBDE1" w14:textId="77777777" w:rsidTr="00324B55">
        <w:trPr>
          <w:trHeight w:val="255"/>
        </w:trPr>
        <w:tc>
          <w:tcPr>
            <w:tcW w:w="1189" w:type="dxa"/>
            <w:tcBorders>
              <w:top w:val="nil"/>
              <w:left w:val="nil"/>
              <w:bottom w:val="nil"/>
              <w:right w:val="nil"/>
            </w:tcBorders>
            <w:shd w:val="clear" w:color="auto" w:fill="auto"/>
            <w:noWrap/>
            <w:vAlign w:val="bottom"/>
            <w:hideMark/>
          </w:tcPr>
          <w:p w14:paraId="1D477041"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58AA2F2D"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13E0A8B8"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CB54661"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4159BF2B"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B07BCD9"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62E49DB5"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77831087"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7A1DFAD5" w14:textId="77777777" w:rsidR="0040473C" w:rsidRPr="0008528F" w:rsidRDefault="0040473C" w:rsidP="00CD1EDD">
            <w:pPr>
              <w:spacing w:before="0" w:after="0"/>
              <w:jc w:val="left"/>
              <w:rPr>
                <w:sz w:val="20"/>
              </w:rPr>
            </w:pPr>
          </w:p>
        </w:tc>
      </w:tr>
      <w:tr w:rsidR="0040473C" w:rsidRPr="0008528F" w14:paraId="12FC6608"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2E7D4E5C"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1833EF60"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1B72E216"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21581FEA"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4CCD1725"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72FDB6B0"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A566C63"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3088BB8D"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088FE2CC" w14:textId="77777777" w:rsidR="0040473C" w:rsidRPr="0008528F" w:rsidRDefault="0040473C" w:rsidP="00CD1EDD">
            <w:pPr>
              <w:spacing w:before="0" w:after="0"/>
              <w:jc w:val="left"/>
              <w:rPr>
                <w:sz w:val="20"/>
              </w:rPr>
            </w:pPr>
            <w:r w:rsidRPr="0008528F">
              <w:rPr>
                <w:sz w:val="20"/>
              </w:rPr>
              <w:t> </w:t>
            </w:r>
          </w:p>
        </w:tc>
      </w:tr>
      <w:tr w:rsidR="0040473C" w:rsidRPr="0008528F" w14:paraId="264174D0" w14:textId="77777777" w:rsidTr="00324B55">
        <w:trPr>
          <w:trHeight w:val="255"/>
        </w:trPr>
        <w:tc>
          <w:tcPr>
            <w:tcW w:w="1189" w:type="dxa"/>
            <w:tcBorders>
              <w:top w:val="nil"/>
              <w:left w:val="nil"/>
              <w:bottom w:val="nil"/>
              <w:right w:val="nil"/>
            </w:tcBorders>
            <w:shd w:val="clear" w:color="auto" w:fill="auto"/>
            <w:noWrap/>
            <w:vAlign w:val="bottom"/>
            <w:hideMark/>
          </w:tcPr>
          <w:p w14:paraId="77E3040A" w14:textId="77777777" w:rsidR="0040473C" w:rsidRPr="0008528F" w:rsidRDefault="0040473C" w:rsidP="00CD1EDD">
            <w:pPr>
              <w:spacing w:before="0" w:after="0"/>
              <w:jc w:val="left"/>
              <w:rPr>
                <w:sz w:val="20"/>
              </w:rPr>
            </w:pPr>
          </w:p>
        </w:tc>
        <w:tc>
          <w:tcPr>
            <w:tcW w:w="269" w:type="dxa"/>
            <w:tcBorders>
              <w:top w:val="nil"/>
              <w:left w:val="nil"/>
              <w:bottom w:val="nil"/>
              <w:right w:val="nil"/>
            </w:tcBorders>
            <w:shd w:val="clear" w:color="auto" w:fill="auto"/>
            <w:noWrap/>
            <w:vAlign w:val="bottom"/>
            <w:hideMark/>
          </w:tcPr>
          <w:p w14:paraId="5B1EEA3E" w14:textId="77777777" w:rsidR="0040473C" w:rsidRPr="0008528F" w:rsidRDefault="0040473C" w:rsidP="00CD1EDD">
            <w:pPr>
              <w:spacing w:before="0" w:after="0"/>
              <w:jc w:val="left"/>
              <w:rPr>
                <w:sz w:val="20"/>
              </w:rPr>
            </w:pPr>
          </w:p>
        </w:tc>
        <w:tc>
          <w:tcPr>
            <w:tcW w:w="1190" w:type="dxa"/>
            <w:tcBorders>
              <w:top w:val="nil"/>
              <w:left w:val="nil"/>
              <w:bottom w:val="nil"/>
              <w:right w:val="nil"/>
            </w:tcBorders>
            <w:shd w:val="clear" w:color="auto" w:fill="auto"/>
            <w:noWrap/>
            <w:vAlign w:val="bottom"/>
            <w:hideMark/>
          </w:tcPr>
          <w:p w14:paraId="4C0D3B0B"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329EEBC4" w14:textId="77777777" w:rsidR="0040473C" w:rsidRPr="0008528F" w:rsidRDefault="0040473C" w:rsidP="00CD1EDD">
            <w:pPr>
              <w:spacing w:before="0" w:after="0"/>
              <w:jc w:val="left"/>
              <w:rPr>
                <w:sz w:val="20"/>
              </w:rPr>
            </w:pPr>
          </w:p>
        </w:tc>
        <w:tc>
          <w:tcPr>
            <w:tcW w:w="3168" w:type="dxa"/>
            <w:tcBorders>
              <w:top w:val="nil"/>
              <w:left w:val="nil"/>
              <w:bottom w:val="nil"/>
              <w:right w:val="nil"/>
            </w:tcBorders>
            <w:shd w:val="clear" w:color="auto" w:fill="auto"/>
            <w:noWrap/>
            <w:vAlign w:val="bottom"/>
            <w:hideMark/>
          </w:tcPr>
          <w:p w14:paraId="15C77EB8"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1551B62"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59083D77" w14:textId="77777777" w:rsidR="0040473C" w:rsidRPr="0008528F" w:rsidRDefault="0040473C" w:rsidP="00CD1EDD">
            <w:pPr>
              <w:spacing w:before="0" w:after="0"/>
              <w:jc w:val="left"/>
              <w:rPr>
                <w:sz w:val="20"/>
              </w:rPr>
            </w:pPr>
          </w:p>
        </w:tc>
        <w:tc>
          <w:tcPr>
            <w:tcW w:w="270" w:type="dxa"/>
            <w:tcBorders>
              <w:top w:val="nil"/>
              <w:left w:val="nil"/>
              <w:bottom w:val="nil"/>
              <w:right w:val="nil"/>
            </w:tcBorders>
            <w:shd w:val="clear" w:color="auto" w:fill="auto"/>
            <w:noWrap/>
            <w:vAlign w:val="bottom"/>
            <w:hideMark/>
          </w:tcPr>
          <w:p w14:paraId="2C2AE748" w14:textId="77777777" w:rsidR="0040473C" w:rsidRPr="0008528F" w:rsidRDefault="0040473C" w:rsidP="00CD1EDD">
            <w:pPr>
              <w:spacing w:before="0" w:after="0"/>
              <w:jc w:val="left"/>
              <w:rPr>
                <w:sz w:val="20"/>
              </w:rPr>
            </w:pPr>
          </w:p>
        </w:tc>
        <w:tc>
          <w:tcPr>
            <w:tcW w:w="1382" w:type="dxa"/>
            <w:tcBorders>
              <w:top w:val="nil"/>
              <w:left w:val="nil"/>
              <w:bottom w:val="nil"/>
              <w:right w:val="nil"/>
            </w:tcBorders>
            <w:shd w:val="clear" w:color="auto" w:fill="auto"/>
            <w:noWrap/>
            <w:vAlign w:val="bottom"/>
            <w:hideMark/>
          </w:tcPr>
          <w:p w14:paraId="04F781F6" w14:textId="77777777" w:rsidR="0040473C" w:rsidRPr="0008528F" w:rsidRDefault="0040473C" w:rsidP="00CD1EDD">
            <w:pPr>
              <w:spacing w:before="0" w:after="0"/>
              <w:jc w:val="left"/>
              <w:rPr>
                <w:sz w:val="20"/>
              </w:rPr>
            </w:pPr>
          </w:p>
        </w:tc>
      </w:tr>
      <w:tr w:rsidR="0040473C" w:rsidRPr="0008528F" w14:paraId="69D54105" w14:textId="77777777" w:rsidTr="00324B55">
        <w:trPr>
          <w:trHeight w:val="255"/>
        </w:trPr>
        <w:tc>
          <w:tcPr>
            <w:tcW w:w="1189" w:type="dxa"/>
            <w:tcBorders>
              <w:top w:val="nil"/>
              <w:left w:val="nil"/>
              <w:bottom w:val="single" w:sz="4" w:space="0" w:color="auto"/>
              <w:right w:val="nil"/>
            </w:tcBorders>
            <w:shd w:val="clear" w:color="auto" w:fill="auto"/>
            <w:noWrap/>
            <w:vAlign w:val="bottom"/>
            <w:hideMark/>
          </w:tcPr>
          <w:p w14:paraId="382B1D1D" w14:textId="77777777" w:rsidR="0040473C" w:rsidRPr="0008528F" w:rsidRDefault="0040473C" w:rsidP="00CD1EDD">
            <w:pPr>
              <w:spacing w:before="0" w:after="0"/>
              <w:jc w:val="left"/>
              <w:rPr>
                <w:sz w:val="20"/>
              </w:rPr>
            </w:pPr>
            <w:r w:rsidRPr="0008528F">
              <w:rPr>
                <w:sz w:val="20"/>
              </w:rPr>
              <w:t> </w:t>
            </w:r>
          </w:p>
        </w:tc>
        <w:tc>
          <w:tcPr>
            <w:tcW w:w="269" w:type="dxa"/>
            <w:tcBorders>
              <w:top w:val="nil"/>
              <w:left w:val="nil"/>
              <w:bottom w:val="nil"/>
              <w:right w:val="nil"/>
            </w:tcBorders>
            <w:shd w:val="clear" w:color="auto" w:fill="auto"/>
            <w:noWrap/>
            <w:vAlign w:val="bottom"/>
            <w:hideMark/>
          </w:tcPr>
          <w:p w14:paraId="6908BB4C" w14:textId="77777777" w:rsidR="0040473C" w:rsidRPr="0008528F" w:rsidRDefault="0040473C" w:rsidP="00CD1EDD">
            <w:pPr>
              <w:spacing w:before="0" w:after="0"/>
              <w:jc w:val="left"/>
              <w:rPr>
                <w:sz w:val="20"/>
              </w:rPr>
            </w:pPr>
          </w:p>
        </w:tc>
        <w:tc>
          <w:tcPr>
            <w:tcW w:w="1190" w:type="dxa"/>
            <w:tcBorders>
              <w:top w:val="nil"/>
              <w:left w:val="nil"/>
              <w:bottom w:val="single" w:sz="4" w:space="0" w:color="auto"/>
              <w:right w:val="nil"/>
            </w:tcBorders>
            <w:shd w:val="clear" w:color="auto" w:fill="auto"/>
            <w:noWrap/>
            <w:vAlign w:val="bottom"/>
            <w:hideMark/>
          </w:tcPr>
          <w:p w14:paraId="0F0643AE"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7E5F215B" w14:textId="77777777" w:rsidR="0040473C" w:rsidRPr="0008528F" w:rsidRDefault="0040473C" w:rsidP="00CD1EDD">
            <w:pPr>
              <w:spacing w:before="0" w:after="0"/>
              <w:jc w:val="left"/>
              <w:rPr>
                <w:sz w:val="20"/>
              </w:rPr>
            </w:pPr>
          </w:p>
        </w:tc>
        <w:tc>
          <w:tcPr>
            <w:tcW w:w="3168" w:type="dxa"/>
            <w:tcBorders>
              <w:top w:val="nil"/>
              <w:left w:val="nil"/>
              <w:bottom w:val="single" w:sz="4" w:space="0" w:color="auto"/>
              <w:right w:val="nil"/>
            </w:tcBorders>
            <w:shd w:val="clear" w:color="auto" w:fill="auto"/>
            <w:noWrap/>
            <w:vAlign w:val="bottom"/>
            <w:hideMark/>
          </w:tcPr>
          <w:p w14:paraId="228F9446"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793810C7"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76E889D7" w14:textId="77777777" w:rsidR="0040473C" w:rsidRPr="0008528F" w:rsidRDefault="0040473C" w:rsidP="00CD1EDD">
            <w:pPr>
              <w:spacing w:before="0" w:after="0"/>
              <w:jc w:val="left"/>
              <w:rPr>
                <w:sz w:val="20"/>
              </w:rPr>
            </w:pPr>
            <w:r w:rsidRPr="0008528F">
              <w:rPr>
                <w:sz w:val="20"/>
              </w:rPr>
              <w:t> </w:t>
            </w:r>
          </w:p>
        </w:tc>
        <w:tc>
          <w:tcPr>
            <w:tcW w:w="270" w:type="dxa"/>
            <w:tcBorders>
              <w:top w:val="nil"/>
              <w:left w:val="nil"/>
              <w:bottom w:val="nil"/>
              <w:right w:val="nil"/>
            </w:tcBorders>
            <w:shd w:val="clear" w:color="auto" w:fill="auto"/>
            <w:noWrap/>
            <w:vAlign w:val="bottom"/>
            <w:hideMark/>
          </w:tcPr>
          <w:p w14:paraId="51FCFE82" w14:textId="77777777" w:rsidR="0040473C" w:rsidRPr="0008528F" w:rsidRDefault="0040473C" w:rsidP="00CD1EDD">
            <w:pPr>
              <w:spacing w:before="0" w:after="0"/>
              <w:jc w:val="left"/>
              <w:rPr>
                <w:sz w:val="20"/>
              </w:rPr>
            </w:pPr>
          </w:p>
        </w:tc>
        <w:tc>
          <w:tcPr>
            <w:tcW w:w="1382" w:type="dxa"/>
            <w:tcBorders>
              <w:top w:val="nil"/>
              <w:left w:val="nil"/>
              <w:bottom w:val="single" w:sz="4" w:space="0" w:color="auto"/>
              <w:right w:val="nil"/>
            </w:tcBorders>
            <w:shd w:val="clear" w:color="auto" w:fill="auto"/>
            <w:noWrap/>
            <w:vAlign w:val="bottom"/>
            <w:hideMark/>
          </w:tcPr>
          <w:p w14:paraId="71BC8F60" w14:textId="77777777" w:rsidR="0040473C" w:rsidRPr="0008528F" w:rsidRDefault="0040473C" w:rsidP="00CD1EDD">
            <w:pPr>
              <w:spacing w:before="0" w:after="0"/>
              <w:jc w:val="left"/>
              <w:rPr>
                <w:sz w:val="20"/>
              </w:rPr>
            </w:pPr>
            <w:r w:rsidRPr="0008528F">
              <w:rPr>
                <w:sz w:val="20"/>
              </w:rPr>
              <w:t> </w:t>
            </w:r>
          </w:p>
        </w:tc>
      </w:tr>
    </w:tbl>
    <w:p w14:paraId="352C536E" w14:textId="77777777" w:rsidR="0012040B" w:rsidRDefault="0040473C" w:rsidP="003B02BA">
      <w:pPr>
        <w:pStyle w:val="Heading2"/>
      </w:pPr>
      <w:bookmarkStart w:id="397" w:name="_Toc166149302"/>
      <w:r>
        <w:lastRenderedPageBreak/>
        <w:t>EXHIBIT 3.6(C)</w:t>
      </w:r>
      <w:bookmarkEnd w:id="397"/>
    </w:p>
    <w:tbl>
      <w:tblPr>
        <w:tblW w:w="10275" w:type="dxa"/>
        <w:tblInd w:w="93" w:type="dxa"/>
        <w:tblLook w:val="04A0" w:firstRow="1" w:lastRow="0" w:firstColumn="1" w:lastColumn="0" w:noHBand="0" w:noVBand="1"/>
      </w:tblPr>
      <w:tblGrid>
        <w:gridCol w:w="1815"/>
        <w:gridCol w:w="1170"/>
        <w:gridCol w:w="1260"/>
        <w:gridCol w:w="1350"/>
        <w:gridCol w:w="1260"/>
        <w:gridCol w:w="1080"/>
        <w:gridCol w:w="1170"/>
        <w:gridCol w:w="1170"/>
      </w:tblGrid>
      <w:tr w:rsidR="001055AA" w:rsidRPr="0008528F" w14:paraId="48FB6EFA" w14:textId="77777777" w:rsidTr="001055AA">
        <w:trPr>
          <w:trHeight w:val="255"/>
        </w:trPr>
        <w:tc>
          <w:tcPr>
            <w:tcW w:w="1815" w:type="dxa"/>
            <w:tcBorders>
              <w:top w:val="nil"/>
              <w:left w:val="nil"/>
              <w:bottom w:val="nil"/>
              <w:right w:val="nil"/>
            </w:tcBorders>
            <w:shd w:val="clear" w:color="auto" w:fill="auto"/>
            <w:noWrap/>
            <w:vAlign w:val="bottom"/>
            <w:hideMark/>
          </w:tcPr>
          <w:p w14:paraId="00896B0C"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32DC54CC"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49ADDABF" w14:textId="77777777" w:rsidR="0040473C" w:rsidRPr="0008528F" w:rsidRDefault="0040473C" w:rsidP="00CD1EDD">
            <w:pPr>
              <w:spacing w:before="0" w:after="0"/>
              <w:jc w:val="left"/>
              <w:rPr>
                <w:sz w:val="20"/>
              </w:rPr>
            </w:pPr>
          </w:p>
        </w:tc>
        <w:tc>
          <w:tcPr>
            <w:tcW w:w="1350" w:type="dxa"/>
            <w:tcBorders>
              <w:top w:val="nil"/>
              <w:left w:val="nil"/>
              <w:bottom w:val="nil"/>
              <w:right w:val="nil"/>
            </w:tcBorders>
            <w:shd w:val="clear" w:color="auto" w:fill="auto"/>
            <w:noWrap/>
            <w:vAlign w:val="bottom"/>
            <w:hideMark/>
          </w:tcPr>
          <w:p w14:paraId="2DAD9F0D"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78BB86CB" w14:textId="77777777" w:rsidR="0040473C" w:rsidRPr="0008528F" w:rsidRDefault="0040473C" w:rsidP="00CD1EDD">
            <w:pPr>
              <w:spacing w:before="0" w:after="0"/>
              <w:jc w:val="left"/>
              <w:rPr>
                <w:sz w:val="20"/>
              </w:rPr>
            </w:pPr>
          </w:p>
        </w:tc>
        <w:tc>
          <w:tcPr>
            <w:tcW w:w="1080" w:type="dxa"/>
            <w:tcBorders>
              <w:top w:val="nil"/>
              <w:left w:val="nil"/>
              <w:bottom w:val="nil"/>
              <w:right w:val="nil"/>
            </w:tcBorders>
            <w:shd w:val="clear" w:color="auto" w:fill="auto"/>
            <w:noWrap/>
            <w:vAlign w:val="bottom"/>
            <w:hideMark/>
          </w:tcPr>
          <w:p w14:paraId="4D2F081D"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20572FCE"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4BD1C18F" w14:textId="77777777" w:rsidR="0040473C" w:rsidRPr="0008528F" w:rsidRDefault="0040473C" w:rsidP="00CD1EDD">
            <w:pPr>
              <w:spacing w:before="0" w:after="0"/>
              <w:jc w:val="left"/>
              <w:rPr>
                <w:b/>
                <w:bCs/>
                <w:sz w:val="20"/>
              </w:rPr>
            </w:pPr>
          </w:p>
        </w:tc>
      </w:tr>
      <w:tr w:rsidR="0040473C" w:rsidRPr="0008528F" w14:paraId="76BE129A" w14:textId="77777777" w:rsidTr="001055AA">
        <w:trPr>
          <w:trHeight w:val="315"/>
        </w:trPr>
        <w:tc>
          <w:tcPr>
            <w:tcW w:w="10275" w:type="dxa"/>
            <w:gridSpan w:val="8"/>
            <w:tcBorders>
              <w:top w:val="nil"/>
              <w:left w:val="nil"/>
              <w:bottom w:val="nil"/>
              <w:right w:val="nil"/>
            </w:tcBorders>
            <w:shd w:val="clear" w:color="auto" w:fill="auto"/>
            <w:noWrap/>
            <w:vAlign w:val="bottom"/>
            <w:hideMark/>
          </w:tcPr>
          <w:p w14:paraId="70DD5977" w14:textId="77777777" w:rsidR="0040473C" w:rsidRPr="0008528F" w:rsidRDefault="0040473C" w:rsidP="00CD1EDD">
            <w:pPr>
              <w:spacing w:before="0" w:after="0"/>
              <w:jc w:val="center"/>
              <w:rPr>
                <w:szCs w:val="24"/>
              </w:rPr>
            </w:pPr>
            <w:r w:rsidRPr="0008528F">
              <w:rPr>
                <w:szCs w:val="24"/>
              </w:rPr>
              <w:t>STATE OF SOUTH CAROLINA</w:t>
            </w:r>
          </w:p>
        </w:tc>
      </w:tr>
      <w:tr w:rsidR="0040473C" w:rsidRPr="0008528F" w14:paraId="4ED427BE" w14:textId="77777777" w:rsidTr="001055AA">
        <w:trPr>
          <w:trHeight w:val="315"/>
        </w:trPr>
        <w:tc>
          <w:tcPr>
            <w:tcW w:w="10275" w:type="dxa"/>
            <w:gridSpan w:val="8"/>
            <w:tcBorders>
              <w:top w:val="nil"/>
              <w:left w:val="nil"/>
              <w:bottom w:val="nil"/>
              <w:right w:val="nil"/>
            </w:tcBorders>
            <w:shd w:val="clear" w:color="auto" w:fill="auto"/>
            <w:noWrap/>
            <w:vAlign w:val="bottom"/>
            <w:hideMark/>
          </w:tcPr>
          <w:p w14:paraId="74DC9F32" w14:textId="77777777" w:rsidR="0040473C" w:rsidRPr="0008528F" w:rsidRDefault="0040473C" w:rsidP="00CD1EDD">
            <w:pPr>
              <w:spacing w:before="0" w:after="0"/>
              <w:jc w:val="center"/>
              <w:rPr>
                <w:szCs w:val="24"/>
              </w:rPr>
            </w:pPr>
            <w:r w:rsidRPr="0008528F">
              <w:rPr>
                <w:szCs w:val="24"/>
              </w:rPr>
              <w:t>SAMPLE AGENCY</w:t>
            </w:r>
          </w:p>
        </w:tc>
      </w:tr>
      <w:tr w:rsidR="0040473C" w:rsidRPr="0008528F" w14:paraId="37D1AEF1" w14:textId="77777777" w:rsidTr="001055AA">
        <w:trPr>
          <w:trHeight w:val="315"/>
        </w:trPr>
        <w:tc>
          <w:tcPr>
            <w:tcW w:w="10275" w:type="dxa"/>
            <w:gridSpan w:val="8"/>
            <w:tcBorders>
              <w:top w:val="nil"/>
              <w:left w:val="nil"/>
              <w:bottom w:val="nil"/>
              <w:right w:val="nil"/>
            </w:tcBorders>
            <w:shd w:val="clear" w:color="auto" w:fill="auto"/>
            <w:noWrap/>
            <w:vAlign w:val="bottom"/>
            <w:hideMark/>
          </w:tcPr>
          <w:p w14:paraId="3C057120" w14:textId="77777777" w:rsidR="0040473C" w:rsidRPr="0008528F" w:rsidRDefault="0040473C" w:rsidP="00CD1EDD">
            <w:pPr>
              <w:spacing w:before="0" w:after="0"/>
              <w:jc w:val="center"/>
              <w:rPr>
                <w:szCs w:val="24"/>
              </w:rPr>
            </w:pPr>
            <w:r w:rsidRPr="0008528F">
              <w:rPr>
                <w:szCs w:val="24"/>
              </w:rPr>
              <w:t>INVENTORY SHEET CONTROL LOG</w:t>
            </w:r>
          </w:p>
        </w:tc>
      </w:tr>
      <w:tr w:rsidR="001055AA" w:rsidRPr="0008528F" w14:paraId="321DD2B7" w14:textId="77777777" w:rsidTr="001055AA">
        <w:trPr>
          <w:trHeight w:val="315"/>
        </w:trPr>
        <w:tc>
          <w:tcPr>
            <w:tcW w:w="1815" w:type="dxa"/>
            <w:tcBorders>
              <w:top w:val="nil"/>
              <w:left w:val="nil"/>
              <w:bottom w:val="nil"/>
              <w:right w:val="nil"/>
            </w:tcBorders>
            <w:shd w:val="clear" w:color="auto" w:fill="auto"/>
            <w:noWrap/>
            <w:vAlign w:val="bottom"/>
            <w:hideMark/>
          </w:tcPr>
          <w:p w14:paraId="023136FC"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35171672"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51C4F665" w14:textId="77777777" w:rsidR="0040473C" w:rsidRPr="0008528F" w:rsidRDefault="0040473C" w:rsidP="00CD1EDD">
            <w:pPr>
              <w:spacing w:before="0" w:after="0"/>
              <w:jc w:val="left"/>
              <w:rPr>
                <w:sz w:val="20"/>
              </w:rPr>
            </w:pPr>
          </w:p>
        </w:tc>
        <w:tc>
          <w:tcPr>
            <w:tcW w:w="1350" w:type="dxa"/>
            <w:tcBorders>
              <w:top w:val="nil"/>
              <w:left w:val="nil"/>
              <w:bottom w:val="nil"/>
              <w:right w:val="nil"/>
            </w:tcBorders>
            <w:shd w:val="clear" w:color="auto" w:fill="auto"/>
            <w:noWrap/>
            <w:vAlign w:val="bottom"/>
            <w:hideMark/>
          </w:tcPr>
          <w:p w14:paraId="0C2D6F84"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461BC0DE" w14:textId="77777777" w:rsidR="0040473C" w:rsidRPr="0008528F" w:rsidRDefault="0040473C" w:rsidP="00CD1EDD">
            <w:pPr>
              <w:spacing w:before="0" w:after="0"/>
              <w:jc w:val="center"/>
              <w:rPr>
                <w:szCs w:val="24"/>
              </w:rPr>
            </w:pPr>
          </w:p>
        </w:tc>
        <w:tc>
          <w:tcPr>
            <w:tcW w:w="1080" w:type="dxa"/>
            <w:tcBorders>
              <w:top w:val="nil"/>
              <w:left w:val="nil"/>
              <w:bottom w:val="nil"/>
              <w:right w:val="nil"/>
            </w:tcBorders>
            <w:shd w:val="clear" w:color="auto" w:fill="auto"/>
            <w:noWrap/>
            <w:vAlign w:val="bottom"/>
            <w:hideMark/>
          </w:tcPr>
          <w:p w14:paraId="31C2DB0B"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1B59F909"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65B37F0C" w14:textId="77777777" w:rsidR="0040473C" w:rsidRPr="0008528F" w:rsidRDefault="0040473C" w:rsidP="00CD1EDD">
            <w:pPr>
              <w:spacing w:before="0" w:after="0"/>
              <w:jc w:val="left"/>
              <w:rPr>
                <w:sz w:val="20"/>
              </w:rPr>
            </w:pPr>
          </w:p>
        </w:tc>
      </w:tr>
      <w:tr w:rsidR="0040473C" w:rsidRPr="0008528F" w14:paraId="5843EE45" w14:textId="77777777" w:rsidTr="001055AA">
        <w:trPr>
          <w:trHeight w:val="360"/>
        </w:trPr>
        <w:tc>
          <w:tcPr>
            <w:tcW w:w="1815" w:type="dxa"/>
            <w:tcBorders>
              <w:top w:val="single" w:sz="4" w:space="0" w:color="auto"/>
              <w:left w:val="single" w:sz="4" w:space="0" w:color="auto"/>
              <w:bottom w:val="nil"/>
              <w:right w:val="single" w:sz="4" w:space="0" w:color="auto"/>
            </w:tcBorders>
            <w:shd w:val="clear" w:color="auto" w:fill="auto"/>
            <w:noWrap/>
            <w:vAlign w:val="bottom"/>
            <w:hideMark/>
          </w:tcPr>
          <w:p w14:paraId="3D298AC6" w14:textId="77777777" w:rsidR="0040473C" w:rsidRPr="0008528F" w:rsidRDefault="0040473C" w:rsidP="00CD1EDD">
            <w:pPr>
              <w:spacing w:before="0" w:after="0"/>
              <w:jc w:val="center"/>
              <w:rPr>
                <w:sz w:val="20"/>
              </w:rPr>
            </w:pPr>
            <w:r w:rsidRPr="0008528F">
              <w:rPr>
                <w:sz w:val="20"/>
              </w:rPr>
              <w:t> </w:t>
            </w:r>
          </w:p>
        </w:tc>
        <w:tc>
          <w:tcPr>
            <w:tcW w:w="1170" w:type="dxa"/>
            <w:tcBorders>
              <w:top w:val="single" w:sz="4" w:space="0" w:color="auto"/>
              <w:left w:val="nil"/>
              <w:bottom w:val="nil"/>
              <w:right w:val="single" w:sz="4" w:space="0" w:color="auto"/>
            </w:tcBorders>
            <w:shd w:val="clear" w:color="auto" w:fill="auto"/>
            <w:noWrap/>
            <w:vAlign w:val="bottom"/>
            <w:hideMark/>
          </w:tcPr>
          <w:p w14:paraId="7DBDB507" w14:textId="77777777" w:rsidR="0040473C" w:rsidRPr="0008528F" w:rsidRDefault="0040473C" w:rsidP="00CD1EDD">
            <w:pPr>
              <w:spacing w:before="0" w:after="0"/>
              <w:jc w:val="center"/>
              <w:rPr>
                <w:sz w:val="20"/>
              </w:rPr>
            </w:pPr>
            <w:r w:rsidRPr="0008528F">
              <w:rPr>
                <w:sz w:val="20"/>
              </w:rPr>
              <w:t> </w:t>
            </w:r>
          </w:p>
        </w:tc>
        <w:tc>
          <w:tcPr>
            <w:tcW w:w="729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1D6CB58" w14:textId="77777777" w:rsidR="0040473C" w:rsidRPr="0008528F" w:rsidRDefault="0040473C" w:rsidP="00CD1EDD">
            <w:pPr>
              <w:spacing w:before="0" w:after="0"/>
              <w:jc w:val="center"/>
              <w:rPr>
                <w:sz w:val="20"/>
              </w:rPr>
            </w:pPr>
            <w:r w:rsidRPr="0008528F">
              <w:rPr>
                <w:sz w:val="20"/>
              </w:rPr>
              <w:t>Inventory Sheets</w:t>
            </w:r>
          </w:p>
        </w:tc>
      </w:tr>
      <w:tr w:rsidR="001055AA" w:rsidRPr="0008528F" w14:paraId="4058CE7D" w14:textId="77777777" w:rsidTr="001055AA">
        <w:trPr>
          <w:trHeight w:val="360"/>
        </w:trPr>
        <w:tc>
          <w:tcPr>
            <w:tcW w:w="1815" w:type="dxa"/>
            <w:tcBorders>
              <w:top w:val="nil"/>
              <w:left w:val="single" w:sz="4" w:space="0" w:color="auto"/>
              <w:bottom w:val="nil"/>
              <w:right w:val="single" w:sz="4" w:space="0" w:color="auto"/>
            </w:tcBorders>
            <w:shd w:val="clear" w:color="auto" w:fill="auto"/>
            <w:noWrap/>
            <w:vAlign w:val="bottom"/>
            <w:hideMark/>
          </w:tcPr>
          <w:p w14:paraId="4118BE49" w14:textId="77777777" w:rsidR="0040473C" w:rsidRPr="0008528F" w:rsidRDefault="0040473C" w:rsidP="00CD1EDD">
            <w:pPr>
              <w:spacing w:before="0" w:after="0"/>
              <w:jc w:val="center"/>
              <w:rPr>
                <w:sz w:val="20"/>
              </w:rPr>
            </w:pPr>
            <w:r w:rsidRPr="0008528F">
              <w:rPr>
                <w:sz w:val="20"/>
              </w:rPr>
              <w:t>Names of</w:t>
            </w:r>
          </w:p>
        </w:tc>
        <w:tc>
          <w:tcPr>
            <w:tcW w:w="1170" w:type="dxa"/>
            <w:tcBorders>
              <w:top w:val="nil"/>
              <w:left w:val="nil"/>
              <w:bottom w:val="nil"/>
              <w:right w:val="single" w:sz="4" w:space="0" w:color="auto"/>
            </w:tcBorders>
            <w:shd w:val="clear" w:color="auto" w:fill="auto"/>
            <w:noWrap/>
            <w:vAlign w:val="bottom"/>
            <w:hideMark/>
          </w:tcPr>
          <w:p w14:paraId="6D48BB9A" w14:textId="77777777" w:rsidR="0040473C" w:rsidRPr="0008528F" w:rsidRDefault="0040473C" w:rsidP="00CD1EDD">
            <w:pPr>
              <w:spacing w:before="0" w:after="0"/>
              <w:jc w:val="center"/>
              <w:rPr>
                <w:sz w:val="20"/>
              </w:rPr>
            </w:pPr>
            <w:r w:rsidRPr="0008528F">
              <w:rPr>
                <w:sz w:val="20"/>
              </w:rPr>
              <w:t>Storage or</w:t>
            </w:r>
          </w:p>
        </w:tc>
        <w:tc>
          <w:tcPr>
            <w:tcW w:w="26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51EEEB" w14:textId="77777777" w:rsidR="0040473C" w:rsidRPr="0008528F" w:rsidRDefault="0040473C" w:rsidP="00CD1EDD">
            <w:pPr>
              <w:spacing w:before="0" w:after="0"/>
              <w:jc w:val="center"/>
              <w:rPr>
                <w:sz w:val="20"/>
              </w:rPr>
            </w:pPr>
            <w:r w:rsidRPr="0008528F">
              <w:rPr>
                <w:sz w:val="20"/>
              </w:rPr>
              <w:t>Issued</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477D78" w14:textId="77777777" w:rsidR="0040473C" w:rsidRPr="0008528F" w:rsidRDefault="0040473C" w:rsidP="00CD1EDD">
            <w:pPr>
              <w:spacing w:before="0" w:after="0"/>
              <w:jc w:val="center"/>
              <w:rPr>
                <w:sz w:val="20"/>
              </w:rPr>
            </w:pPr>
            <w:r w:rsidRPr="0008528F">
              <w:rPr>
                <w:sz w:val="20"/>
              </w:rPr>
              <w:t>Used</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A5451A" w14:textId="77777777" w:rsidR="0040473C" w:rsidRPr="0008528F" w:rsidRDefault="0040473C" w:rsidP="00CD1EDD">
            <w:pPr>
              <w:spacing w:before="0" w:after="0"/>
              <w:jc w:val="center"/>
              <w:rPr>
                <w:sz w:val="20"/>
              </w:rPr>
            </w:pPr>
            <w:r w:rsidRPr="0008528F">
              <w:rPr>
                <w:sz w:val="20"/>
              </w:rPr>
              <w:t>Not Used</w:t>
            </w:r>
          </w:p>
        </w:tc>
      </w:tr>
      <w:tr w:rsidR="001055AA" w:rsidRPr="0008528F" w14:paraId="51B87EAC" w14:textId="77777777" w:rsidTr="001055AA">
        <w:trPr>
          <w:trHeight w:val="360"/>
        </w:trPr>
        <w:tc>
          <w:tcPr>
            <w:tcW w:w="1815" w:type="dxa"/>
            <w:tcBorders>
              <w:top w:val="nil"/>
              <w:left w:val="single" w:sz="4" w:space="0" w:color="auto"/>
              <w:bottom w:val="nil"/>
              <w:right w:val="single" w:sz="4" w:space="0" w:color="auto"/>
            </w:tcBorders>
            <w:shd w:val="clear" w:color="auto" w:fill="auto"/>
            <w:noWrap/>
            <w:vAlign w:val="bottom"/>
            <w:hideMark/>
          </w:tcPr>
          <w:p w14:paraId="29F6554C" w14:textId="77777777" w:rsidR="0040473C" w:rsidRPr="0008528F" w:rsidRDefault="0040473C" w:rsidP="00CD1EDD">
            <w:pPr>
              <w:spacing w:before="0" w:after="0"/>
              <w:jc w:val="center"/>
              <w:rPr>
                <w:sz w:val="20"/>
              </w:rPr>
            </w:pPr>
            <w:r w:rsidRPr="0008528F">
              <w:rPr>
                <w:sz w:val="20"/>
              </w:rPr>
              <w:t>Team Members</w:t>
            </w:r>
          </w:p>
        </w:tc>
        <w:tc>
          <w:tcPr>
            <w:tcW w:w="1170" w:type="dxa"/>
            <w:tcBorders>
              <w:top w:val="nil"/>
              <w:left w:val="nil"/>
              <w:bottom w:val="nil"/>
              <w:right w:val="single" w:sz="4" w:space="0" w:color="auto"/>
            </w:tcBorders>
            <w:shd w:val="clear" w:color="auto" w:fill="auto"/>
            <w:noWrap/>
            <w:vAlign w:val="bottom"/>
            <w:hideMark/>
          </w:tcPr>
          <w:p w14:paraId="6A330DD0" w14:textId="77777777" w:rsidR="0040473C" w:rsidRPr="0008528F" w:rsidRDefault="0040473C" w:rsidP="00CD1EDD">
            <w:pPr>
              <w:spacing w:before="0" w:after="0"/>
              <w:jc w:val="center"/>
              <w:rPr>
                <w:sz w:val="20"/>
              </w:rPr>
            </w:pPr>
            <w:r w:rsidRPr="0008528F">
              <w:rPr>
                <w:sz w:val="20"/>
              </w:rPr>
              <w:t>Warehouse</w:t>
            </w:r>
          </w:p>
        </w:tc>
        <w:tc>
          <w:tcPr>
            <w:tcW w:w="1260" w:type="dxa"/>
            <w:tcBorders>
              <w:top w:val="nil"/>
              <w:left w:val="nil"/>
              <w:bottom w:val="nil"/>
              <w:right w:val="single" w:sz="4" w:space="0" w:color="auto"/>
            </w:tcBorders>
            <w:shd w:val="clear" w:color="auto" w:fill="auto"/>
            <w:noWrap/>
            <w:vAlign w:val="bottom"/>
            <w:hideMark/>
          </w:tcPr>
          <w:p w14:paraId="43A5D029" w14:textId="77777777" w:rsidR="0040473C" w:rsidRPr="0008528F" w:rsidRDefault="0040473C" w:rsidP="00CD1EDD">
            <w:pPr>
              <w:spacing w:before="0" w:after="0"/>
              <w:jc w:val="center"/>
              <w:rPr>
                <w:sz w:val="20"/>
              </w:rPr>
            </w:pPr>
            <w:r w:rsidRPr="0008528F">
              <w:rPr>
                <w:sz w:val="20"/>
              </w:rPr>
              <w:t>To</w:t>
            </w:r>
          </w:p>
        </w:tc>
        <w:tc>
          <w:tcPr>
            <w:tcW w:w="1350" w:type="dxa"/>
            <w:tcBorders>
              <w:top w:val="nil"/>
              <w:left w:val="nil"/>
              <w:bottom w:val="nil"/>
              <w:right w:val="single" w:sz="4" w:space="0" w:color="auto"/>
            </w:tcBorders>
            <w:shd w:val="clear" w:color="auto" w:fill="auto"/>
            <w:noWrap/>
            <w:vAlign w:val="bottom"/>
            <w:hideMark/>
          </w:tcPr>
          <w:p w14:paraId="4B2F8870" w14:textId="77777777" w:rsidR="0040473C" w:rsidRPr="0008528F" w:rsidRDefault="0040473C" w:rsidP="00CD1EDD">
            <w:pPr>
              <w:spacing w:before="0" w:after="0"/>
              <w:jc w:val="center"/>
              <w:rPr>
                <w:sz w:val="20"/>
              </w:rPr>
            </w:pPr>
            <w:r w:rsidRPr="0008528F">
              <w:rPr>
                <w:sz w:val="20"/>
              </w:rPr>
              <w:t>Nos.</w:t>
            </w:r>
          </w:p>
        </w:tc>
        <w:tc>
          <w:tcPr>
            <w:tcW w:w="1260" w:type="dxa"/>
            <w:tcBorders>
              <w:top w:val="nil"/>
              <w:left w:val="nil"/>
              <w:bottom w:val="nil"/>
              <w:right w:val="single" w:sz="4" w:space="0" w:color="auto"/>
            </w:tcBorders>
            <w:shd w:val="clear" w:color="auto" w:fill="auto"/>
            <w:noWrap/>
            <w:vAlign w:val="bottom"/>
            <w:hideMark/>
          </w:tcPr>
          <w:p w14:paraId="79921ED4" w14:textId="77777777" w:rsidR="0040473C" w:rsidRPr="0008528F" w:rsidRDefault="0040473C" w:rsidP="00CD1EDD">
            <w:pPr>
              <w:spacing w:before="0" w:after="0"/>
              <w:jc w:val="center"/>
              <w:rPr>
                <w:sz w:val="20"/>
              </w:rPr>
            </w:pPr>
            <w:r w:rsidRPr="0008528F">
              <w:rPr>
                <w:sz w:val="20"/>
              </w:rPr>
              <w:t>By</w:t>
            </w:r>
          </w:p>
        </w:tc>
        <w:tc>
          <w:tcPr>
            <w:tcW w:w="1080" w:type="dxa"/>
            <w:tcBorders>
              <w:top w:val="nil"/>
              <w:left w:val="nil"/>
              <w:bottom w:val="nil"/>
              <w:right w:val="single" w:sz="4" w:space="0" w:color="auto"/>
            </w:tcBorders>
            <w:shd w:val="clear" w:color="auto" w:fill="auto"/>
            <w:noWrap/>
            <w:vAlign w:val="bottom"/>
            <w:hideMark/>
          </w:tcPr>
          <w:p w14:paraId="75B5ABAA" w14:textId="77777777" w:rsidR="0040473C" w:rsidRPr="0008528F" w:rsidRDefault="0040473C" w:rsidP="00CD1EDD">
            <w:pPr>
              <w:spacing w:before="0" w:after="0"/>
              <w:jc w:val="center"/>
              <w:rPr>
                <w:sz w:val="20"/>
              </w:rPr>
            </w:pPr>
            <w:r w:rsidRPr="0008528F">
              <w:rPr>
                <w:sz w:val="20"/>
              </w:rPr>
              <w:t>Nos.</w:t>
            </w:r>
          </w:p>
        </w:tc>
        <w:tc>
          <w:tcPr>
            <w:tcW w:w="1170" w:type="dxa"/>
            <w:tcBorders>
              <w:top w:val="nil"/>
              <w:left w:val="nil"/>
              <w:bottom w:val="nil"/>
              <w:right w:val="single" w:sz="4" w:space="0" w:color="auto"/>
            </w:tcBorders>
            <w:shd w:val="clear" w:color="auto" w:fill="auto"/>
            <w:noWrap/>
            <w:vAlign w:val="bottom"/>
            <w:hideMark/>
          </w:tcPr>
          <w:p w14:paraId="55879450" w14:textId="77777777" w:rsidR="0040473C" w:rsidRPr="0008528F" w:rsidRDefault="0040473C" w:rsidP="00CD1EDD">
            <w:pPr>
              <w:spacing w:before="0" w:after="0"/>
              <w:jc w:val="center"/>
              <w:rPr>
                <w:sz w:val="20"/>
              </w:rPr>
            </w:pPr>
            <w:r w:rsidRPr="0008528F">
              <w:rPr>
                <w:sz w:val="20"/>
              </w:rPr>
              <w:t>By</w:t>
            </w:r>
          </w:p>
        </w:tc>
        <w:tc>
          <w:tcPr>
            <w:tcW w:w="1170" w:type="dxa"/>
            <w:tcBorders>
              <w:top w:val="nil"/>
              <w:left w:val="nil"/>
              <w:bottom w:val="nil"/>
              <w:right w:val="single" w:sz="4" w:space="0" w:color="auto"/>
            </w:tcBorders>
            <w:shd w:val="clear" w:color="auto" w:fill="auto"/>
            <w:noWrap/>
            <w:vAlign w:val="bottom"/>
            <w:hideMark/>
          </w:tcPr>
          <w:p w14:paraId="4D51AF22" w14:textId="77777777" w:rsidR="0040473C" w:rsidRPr="0008528F" w:rsidRDefault="0040473C" w:rsidP="00CD1EDD">
            <w:pPr>
              <w:spacing w:before="0" w:after="0"/>
              <w:jc w:val="center"/>
              <w:rPr>
                <w:sz w:val="20"/>
              </w:rPr>
            </w:pPr>
            <w:r w:rsidRPr="0008528F">
              <w:rPr>
                <w:sz w:val="20"/>
              </w:rPr>
              <w:t>Nos.</w:t>
            </w:r>
          </w:p>
        </w:tc>
      </w:tr>
      <w:tr w:rsidR="001055AA" w:rsidRPr="0008528F" w14:paraId="7B77D82F" w14:textId="77777777" w:rsidTr="001055AA">
        <w:trPr>
          <w:trHeight w:val="36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DE065BA" w14:textId="77777777" w:rsidR="0040473C" w:rsidRPr="0008528F" w:rsidRDefault="0040473C" w:rsidP="00CD1EDD">
            <w:pPr>
              <w:spacing w:before="0" w:after="0"/>
              <w:jc w:val="center"/>
              <w:rPr>
                <w:sz w:val="20"/>
              </w:rPr>
            </w:pPr>
            <w:r w:rsidRPr="0008528F">
              <w:rPr>
                <w:sz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4AB50DD" w14:textId="77777777" w:rsidR="0040473C" w:rsidRPr="0008528F" w:rsidRDefault="0040473C" w:rsidP="00CD1EDD">
            <w:pPr>
              <w:spacing w:before="0" w:after="0"/>
              <w:jc w:val="center"/>
              <w:rPr>
                <w:sz w:val="20"/>
              </w:rPr>
            </w:pPr>
            <w:r w:rsidRPr="0008528F">
              <w:rPr>
                <w:sz w:val="20"/>
              </w:rPr>
              <w:t>Area</w:t>
            </w:r>
          </w:p>
        </w:tc>
        <w:tc>
          <w:tcPr>
            <w:tcW w:w="1260" w:type="dxa"/>
            <w:tcBorders>
              <w:top w:val="nil"/>
              <w:left w:val="nil"/>
              <w:bottom w:val="single" w:sz="4" w:space="0" w:color="auto"/>
              <w:right w:val="single" w:sz="4" w:space="0" w:color="auto"/>
            </w:tcBorders>
            <w:shd w:val="clear" w:color="auto" w:fill="auto"/>
            <w:noWrap/>
            <w:vAlign w:val="bottom"/>
            <w:hideMark/>
          </w:tcPr>
          <w:p w14:paraId="0B49DBEC" w14:textId="77777777" w:rsidR="0040473C" w:rsidRPr="0008528F" w:rsidRDefault="0040473C" w:rsidP="00CD1EDD">
            <w:pPr>
              <w:spacing w:before="0" w:after="0"/>
              <w:jc w:val="center"/>
              <w:rPr>
                <w:sz w:val="20"/>
              </w:rPr>
            </w:pPr>
            <w:r w:rsidRPr="0008528F">
              <w:rPr>
                <w:sz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2B86919A" w14:textId="77777777" w:rsidR="0040473C" w:rsidRPr="0008528F" w:rsidRDefault="0040473C" w:rsidP="00CD1EDD">
            <w:pPr>
              <w:spacing w:before="0" w:after="0"/>
              <w:jc w:val="center"/>
              <w:rPr>
                <w:sz w:val="20"/>
              </w:rPr>
            </w:pPr>
            <w:r w:rsidRPr="0008528F">
              <w:rPr>
                <w:sz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648C8281" w14:textId="77777777" w:rsidR="0040473C" w:rsidRPr="0008528F" w:rsidRDefault="0040473C" w:rsidP="00CD1EDD">
            <w:pPr>
              <w:spacing w:before="0" w:after="0"/>
              <w:jc w:val="center"/>
              <w:rPr>
                <w:sz w:val="20"/>
              </w:rPr>
            </w:pPr>
            <w:r w:rsidRPr="0008528F">
              <w:rPr>
                <w:sz w:val="20"/>
              </w:rPr>
              <w:t>(3)</w:t>
            </w:r>
          </w:p>
        </w:tc>
        <w:tc>
          <w:tcPr>
            <w:tcW w:w="1080" w:type="dxa"/>
            <w:tcBorders>
              <w:top w:val="nil"/>
              <w:left w:val="nil"/>
              <w:bottom w:val="single" w:sz="4" w:space="0" w:color="auto"/>
              <w:right w:val="single" w:sz="4" w:space="0" w:color="auto"/>
            </w:tcBorders>
            <w:shd w:val="clear" w:color="auto" w:fill="auto"/>
            <w:noWrap/>
            <w:vAlign w:val="bottom"/>
            <w:hideMark/>
          </w:tcPr>
          <w:p w14:paraId="7D778C97" w14:textId="77777777" w:rsidR="0040473C" w:rsidRPr="0008528F" w:rsidRDefault="0040473C" w:rsidP="00CD1EDD">
            <w:pPr>
              <w:spacing w:before="0" w:after="0"/>
              <w:jc w:val="center"/>
              <w:rPr>
                <w:sz w:val="20"/>
              </w:rPr>
            </w:pPr>
            <w:r w:rsidRPr="0008528F">
              <w:rPr>
                <w:sz w:val="20"/>
              </w:rPr>
              <w:t>(4)</w:t>
            </w:r>
          </w:p>
        </w:tc>
        <w:tc>
          <w:tcPr>
            <w:tcW w:w="1170" w:type="dxa"/>
            <w:tcBorders>
              <w:top w:val="nil"/>
              <w:left w:val="nil"/>
              <w:bottom w:val="single" w:sz="4" w:space="0" w:color="auto"/>
              <w:right w:val="single" w:sz="4" w:space="0" w:color="auto"/>
            </w:tcBorders>
            <w:shd w:val="clear" w:color="auto" w:fill="auto"/>
            <w:noWrap/>
            <w:vAlign w:val="bottom"/>
            <w:hideMark/>
          </w:tcPr>
          <w:p w14:paraId="6E59751D" w14:textId="77777777" w:rsidR="0040473C" w:rsidRPr="0008528F" w:rsidRDefault="0040473C" w:rsidP="00CD1EDD">
            <w:pPr>
              <w:spacing w:before="0" w:after="0"/>
              <w:jc w:val="center"/>
              <w:rPr>
                <w:sz w:val="20"/>
              </w:rPr>
            </w:pPr>
            <w:r w:rsidRPr="0008528F">
              <w:rPr>
                <w:sz w:val="20"/>
              </w:rPr>
              <w:t>(5)</w:t>
            </w:r>
          </w:p>
        </w:tc>
        <w:tc>
          <w:tcPr>
            <w:tcW w:w="1170" w:type="dxa"/>
            <w:tcBorders>
              <w:top w:val="nil"/>
              <w:left w:val="nil"/>
              <w:bottom w:val="single" w:sz="4" w:space="0" w:color="auto"/>
              <w:right w:val="single" w:sz="4" w:space="0" w:color="auto"/>
            </w:tcBorders>
            <w:shd w:val="clear" w:color="auto" w:fill="auto"/>
            <w:noWrap/>
            <w:vAlign w:val="bottom"/>
            <w:hideMark/>
          </w:tcPr>
          <w:p w14:paraId="78EEC7E7" w14:textId="77777777" w:rsidR="0040473C" w:rsidRPr="0008528F" w:rsidRDefault="0040473C" w:rsidP="00CD1EDD">
            <w:pPr>
              <w:spacing w:before="0" w:after="0"/>
              <w:jc w:val="center"/>
              <w:rPr>
                <w:sz w:val="20"/>
              </w:rPr>
            </w:pPr>
            <w:r w:rsidRPr="0008528F">
              <w:rPr>
                <w:sz w:val="20"/>
              </w:rPr>
              <w:t>(6)</w:t>
            </w:r>
          </w:p>
        </w:tc>
      </w:tr>
      <w:tr w:rsidR="001055AA" w:rsidRPr="0008528F" w14:paraId="280CA018"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3FAD793D"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D10DDDE"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0B1C7D25"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5EF9B2B5"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2C49A16C"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1FC273A5"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01DB3864"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520F17B0" w14:textId="77777777" w:rsidR="0040473C" w:rsidRPr="0008528F" w:rsidRDefault="0040473C" w:rsidP="00CD1EDD">
            <w:pPr>
              <w:spacing w:before="0" w:after="0"/>
              <w:jc w:val="left"/>
              <w:rPr>
                <w:sz w:val="20"/>
              </w:rPr>
            </w:pPr>
            <w:r w:rsidRPr="0008528F">
              <w:rPr>
                <w:sz w:val="20"/>
              </w:rPr>
              <w:t> </w:t>
            </w:r>
          </w:p>
        </w:tc>
      </w:tr>
      <w:tr w:rsidR="001055AA" w:rsidRPr="0008528F" w14:paraId="49B9BB74"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07668B72"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040035E9"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1720E68A"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64390D21"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BB99263"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1931D348"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2783399D"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046084F" w14:textId="77777777" w:rsidR="0040473C" w:rsidRPr="0008528F" w:rsidRDefault="0040473C" w:rsidP="00CD1EDD">
            <w:pPr>
              <w:spacing w:before="0" w:after="0"/>
              <w:jc w:val="left"/>
              <w:rPr>
                <w:sz w:val="20"/>
              </w:rPr>
            </w:pPr>
            <w:r w:rsidRPr="0008528F">
              <w:rPr>
                <w:sz w:val="20"/>
              </w:rPr>
              <w:t> </w:t>
            </w:r>
          </w:p>
        </w:tc>
      </w:tr>
      <w:tr w:rsidR="001055AA" w:rsidRPr="0008528F" w14:paraId="24E18832"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75593B9C"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B50D424"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66E76EAC"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578DB797"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2C90667"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25078280"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2C261D53"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D3FD52A" w14:textId="77777777" w:rsidR="0040473C" w:rsidRPr="0008528F" w:rsidRDefault="0040473C" w:rsidP="00CD1EDD">
            <w:pPr>
              <w:spacing w:before="0" w:after="0"/>
              <w:jc w:val="left"/>
              <w:rPr>
                <w:sz w:val="20"/>
              </w:rPr>
            </w:pPr>
            <w:r w:rsidRPr="0008528F">
              <w:rPr>
                <w:sz w:val="20"/>
              </w:rPr>
              <w:t> </w:t>
            </w:r>
          </w:p>
        </w:tc>
      </w:tr>
      <w:tr w:rsidR="001055AA" w:rsidRPr="0008528F" w14:paraId="425A9821"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7B32BB21"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6441E070"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4E4C27D7"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5AA1464F"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813316B"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135BC538"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2A9A5D3"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014B5723" w14:textId="77777777" w:rsidR="0040473C" w:rsidRPr="0008528F" w:rsidRDefault="0040473C" w:rsidP="00CD1EDD">
            <w:pPr>
              <w:spacing w:before="0" w:after="0"/>
              <w:jc w:val="left"/>
              <w:rPr>
                <w:sz w:val="20"/>
              </w:rPr>
            </w:pPr>
            <w:r w:rsidRPr="0008528F">
              <w:rPr>
                <w:sz w:val="20"/>
              </w:rPr>
              <w:t> </w:t>
            </w:r>
          </w:p>
        </w:tc>
      </w:tr>
      <w:tr w:rsidR="001055AA" w:rsidRPr="0008528F" w14:paraId="3252424E"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288B0F98"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9E204D8"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6EE0CF5F"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418067EC"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61F9EAD"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361739CD"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34113721"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37CB5AC" w14:textId="77777777" w:rsidR="0040473C" w:rsidRPr="0008528F" w:rsidRDefault="0040473C" w:rsidP="00CD1EDD">
            <w:pPr>
              <w:spacing w:before="0" w:after="0"/>
              <w:jc w:val="left"/>
              <w:rPr>
                <w:sz w:val="20"/>
              </w:rPr>
            </w:pPr>
            <w:r w:rsidRPr="0008528F">
              <w:rPr>
                <w:sz w:val="20"/>
              </w:rPr>
              <w:t> </w:t>
            </w:r>
          </w:p>
        </w:tc>
      </w:tr>
      <w:tr w:rsidR="001055AA" w:rsidRPr="0008528F" w14:paraId="5B1E4CC0"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18C6745E"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06AFF4F"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3D14646"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3E81DDB2"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1722CFA8"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2D851947"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662789F0"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5E3B187" w14:textId="77777777" w:rsidR="0040473C" w:rsidRPr="0008528F" w:rsidRDefault="0040473C" w:rsidP="00CD1EDD">
            <w:pPr>
              <w:spacing w:before="0" w:after="0"/>
              <w:jc w:val="left"/>
              <w:rPr>
                <w:sz w:val="20"/>
              </w:rPr>
            </w:pPr>
            <w:r w:rsidRPr="0008528F">
              <w:rPr>
                <w:sz w:val="20"/>
              </w:rPr>
              <w:t> </w:t>
            </w:r>
          </w:p>
        </w:tc>
      </w:tr>
      <w:tr w:rsidR="001055AA" w:rsidRPr="0008528F" w14:paraId="2CC9E955"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3473513F"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7009C27"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D735BD5"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4D96E826"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3154D7B1"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1EE36BA2"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5A4E086"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14630C5" w14:textId="77777777" w:rsidR="0040473C" w:rsidRPr="0008528F" w:rsidRDefault="0040473C" w:rsidP="00CD1EDD">
            <w:pPr>
              <w:spacing w:before="0" w:after="0"/>
              <w:jc w:val="left"/>
              <w:rPr>
                <w:sz w:val="20"/>
              </w:rPr>
            </w:pPr>
            <w:r w:rsidRPr="0008528F">
              <w:rPr>
                <w:sz w:val="20"/>
              </w:rPr>
              <w:t> </w:t>
            </w:r>
          </w:p>
        </w:tc>
      </w:tr>
      <w:tr w:rsidR="001055AA" w:rsidRPr="0008528F" w14:paraId="0EB59CC0"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59092DC8"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502E2B92"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164A58AF"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3D38E07B"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4A089D48"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4786C1C0"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7C3C07D"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BBC37CD" w14:textId="77777777" w:rsidR="0040473C" w:rsidRPr="0008528F" w:rsidRDefault="0040473C" w:rsidP="00CD1EDD">
            <w:pPr>
              <w:spacing w:before="0" w:after="0"/>
              <w:jc w:val="left"/>
              <w:rPr>
                <w:sz w:val="20"/>
              </w:rPr>
            </w:pPr>
            <w:r w:rsidRPr="0008528F">
              <w:rPr>
                <w:sz w:val="20"/>
              </w:rPr>
              <w:t> </w:t>
            </w:r>
          </w:p>
        </w:tc>
      </w:tr>
      <w:tr w:rsidR="001055AA" w:rsidRPr="0008528F" w14:paraId="5040C8B6"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684B2D17"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270DC62A"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567807EE"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55D52B06"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6DE05ECB"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53A174E0"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40D9B33"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907EDF6" w14:textId="77777777" w:rsidR="0040473C" w:rsidRPr="0008528F" w:rsidRDefault="0040473C" w:rsidP="00CD1EDD">
            <w:pPr>
              <w:spacing w:before="0" w:after="0"/>
              <w:jc w:val="left"/>
              <w:rPr>
                <w:sz w:val="20"/>
              </w:rPr>
            </w:pPr>
            <w:r w:rsidRPr="0008528F">
              <w:rPr>
                <w:sz w:val="20"/>
              </w:rPr>
              <w:t> </w:t>
            </w:r>
          </w:p>
        </w:tc>
      </w:tr>
      <w:tr w:rsidR="001055AA" w:rsidRPr="0008528F" w14:paraId="2CD7E0C7"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6060DFDB"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F78CA6B"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57FA605C"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3B4F7C12"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3577F6D"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7EC05DF9"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34E21085"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5FA089EB" w14:textId="77777777" w:rsidR="0040473C" w:rsidRPr="0008528F" w:rsidRDefault="0040473C" w:rsidP="00CD1EDD">
            <w:pPr>
              <w:spacing w:before="0" w:after="0"/>
              <w:jc w:val="left"/>
              <w:rPr>
                <w:sz w:val="20"/>
              </w:rPr>
            </w:pPr>
            <w:r w:rsidRPr="0008528F">
              <w:rPr>
                <w:sz w:val="20"/>
              </w:rPr>
              <w:t> </w:t>
            </w:r>
          </w:p>
        </w:tc>
      </w:tr>
      <w:tr w:rsidR="001055AA" w:rsidRPr="0008528F" w14:paraId="38243DBC"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70D6F50D"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0183EDDC"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3D48C765"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2C16498E"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6E10A60C"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0FBF15EB"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30B8A014"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35E1F296" w14:textId="77777777" w:rsidR="0040473C" w:rsidRPr="0008528F" w:rsidRDefault="0040473C" w:rsidP="00CD1EDD">
            <w:pPr>
              <w:spacing w:before="0" w:after="0"/>
              <w:jc w:val="left"/>
              <w:rPr>
                <w:sz w:val="20"/>
              </w:rPr>
            </w:pPr>
          </w:p>
        </w:tc>
      </w:tr>
      <w:tr w:rsidR="001055AA" w:rsidRPr="0008528F" w14:paraId="50F7C766"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61611595"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6485EF7C"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014159A4"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4318AA24"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2443FE73"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5F8538C6"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14DFEA36"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6D28CAC5" w14:textId="77777777" w:rsidR="0040473C" w:rsidRPr="0008528F" w:rsidRDefault="0040473C" w:rsidP="00CD1EDD">
            <w:pPr>
              <w:spacing w:before="0" w:after="0"/>
              <w:jc w:val="left"/>
              <w:rPr>
                <w:sz w:val="20"/>
              </w:rPr>
            </w:pPr>
          </w:p>
        </w:tc>
      </w:tr>
      <w:tr w:rsidR="001055AA" w:rsidRPr="0008528F" w14:paraId="24753029"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4CA97A2E"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1CC126A8"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38F4BCBE"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1FF9AA54"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4808222C"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7B13BAA9"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3EECECF1"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224AA3A8" w14:textId="77777777" w:rsidR="0040473C" w:rsidRPr="0008528F" w:rsidRDefault="0040473C" w:rsidP="00CD1EDD">
            <w:pPr>
              <w:spacing w:before="0" w:after="0"/>
              <w:jc w:val="left"/>
              <w:rPr>
                <w:sz w:val="20"/>
              </w:rPr>
            </w:pPr>
          </w:p>
        </w:tc>
      </w:tr>
      <w:tr w:rsidR="001055AA" w:rsidRPr="0008528F" w14:paraId="2CCFC790"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3EC55D5A"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349B11F9"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3C0D53DA"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6656963A"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22CE2C94"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5A90E6C2"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03F174C6"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611990AB" w14:textId="77777777" w:rsidR="0040473C" w:rsidRPr="0008528F" w:rsidRDefault="0040473C" w:rsidP="00CD1EDD">
            <w:pPr>
              <w:spacing w:before="0" w:after="0"/>
              <w:jc w:val="left"/>
              <w:rPr>
                <w:sz w:val="20"/>
              </w:rPr>
            </w:pPr>
          </w:p>
        </w:tc>
      </w:tr>
      <w:tr w:rsidR="001055AA" w:rsidRPr="0008528F" w14:paraId="60167294"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3A27B82E"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20D18086"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203C56EB"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45DF3EBA"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207638BE"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726B9C53"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25590B0C"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64099E9A" w14:textId="77777777" w:rsidR="0040473C" w:rsidRPr="0008528F" w:rsidRDefault="0040473C" w:rsidP="00CD1EDD">
            <w:pPr>
              <w:spacing w:before="0" w:after="0"/>
              <w:jc w:val="left"/>
              <w:rPr>
                <w:sz w:val="20"/>
              </w:rPr>
            </w:pPr>
          </w:p>
        </w:tc>
      </w:tr>
      <w:tr w:rsidR="001055AA" w:rsidRPr="0008528F" w14:paraId="07DA3F9C"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5836828A"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3E3ABBC1"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6E41A9DC"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681E5973"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6F5A8CC8"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7FD7C618"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13D78739"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4E6B5CF7" w14:textId="77777777" w:rsidR="0040473C" w:rsidRPr="0008528F" w:rsidRDefault="0040473C" w:rsidP="00CD1EDD">
            <w:pPr>
              <w:spacing w:before="0" w:after="0"/>
              <w:jc w:val="left"/>
              <w:rPr>
                <w:sz w:val="20"/>
              </w:rPr>
            </w:pPr>
          </w:p>
        </w:tc>
      </w:tr>
      <w:tr w:rsidR="001055AA" w:rsidRPr="0008528F" w14:paraId="56FA959B"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5AC6E8E9"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1BE2170D"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4B9B107C" w14:textId="77777777" w:rsidR="0040473C" w:rsidRPr="0008528F" w:rsidRDefault="0040473C" w:rsidP="00CD1EDD">
            <w:pPr>
              <w:spacing w:before="0" w:after="0"/>
              <w:jc w:val="left"/>
              <w:rPr>
                <w:sz w:val="20"/>
              </w:rPr>
            </w:pPr>
          </w:p>
        </w:tc>
        <w:tc>
          <w:tcPr>
            <w:tcW w:w="1350" w:type="dxa"/>
            <w:tcBorders>
              <w:top w:val="nil"/>
              <w:left w:val="nil"/>
              <w:bottom w:val="nil"/>
              <w:right w:val="single" w:sz="4" w:space="0" w:color="auto"/>
            </w:tcBorders>
            <w:shd w:val="clear" w:color="auto" w:fill="auto"/>
            <w:noWrap/>
            <w:vAlign w:val="bottom"/>
            <w:hideMark/>
          </w:tcPr>
          <w:p w14:paraId="16D438D2" w14:textId="77777777" w:rsidR="0040473C" w:rsidRPr="0008528F" w:rsidRDefault="0040473C" w:rsidP="00CD1EDD">
            <w:pPr>
              <w:spacing w:before="0" w:after="0"/>
              <w:jc w:val="left"/>
              <w:rPr>
                <w:sz w:val="20"/>
              </w:rPr>
            </w:pPr>
          </w:p>
        </w:tc>
        <w:tc>
          <w:tcPr>
            <w:tcW w:w="1260" w:type="dxa"/>
            <w:tcBorders>
              <w:top w:val="nil"/>
              <w:left w:val="nil"/>
              <w:bottom w:val="nil"/>
              <w:right w:val="single" w:sz="4" w:space="0" w:color="auto"/>
            </w:tcBorders>
            <w:shd w:val="clear" w:color="auto" w:fill="auto"/>
            <w:noWrap/>
            <w:vAlign w:val="bottom"/>
            <w:hideMark/>
          </w:tcPr>
          <w:p w14:paraId="6694869C" w14:textId="77777777" w:rsidR="0040473C" w:rsidRPr="0008528F" w:rsidRDefault="0040473C" w:rsidP="00CD1EDD">
            <w:pPr>
              <w:spacing w:before="0" w:after="0"/>
              <w:jc w:val="left"/>
              <w:rPr>
                <w:sz w:val="20"/>
              </w:rPr>
            </w:pPr>
          </w:p>
        </w:tc>
        <w:tc>
          <w:tcPr>
            <w:tcW w:w="1080" w:type="dxa"/>
            <w:tcBorders>
              <w:top w:val="nil"/>
              <w:left w:val="nil"/>
              <w:bottom w:val="nil"/>
              <w:right w:val="single" w:sz="4" w:space="0" w:color="auto"/>
            </w:tcBorders>
            <w:shd w:val="clear" w:color="auto" w:fill="auto"/>
            <w:noWrap/>
            <w:vAlign w:val="bottom"/>
            <w:hideMark/>
          </w:tcPr>
          <w:p w14:paraId="6AFD02F5"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07676D9D" w14:textId="77777777" w:rsidR="0040473C" w:rsidRPr="0008528F" w:rsidRDefault="0040473C" w:rsidP="00CD1EDD">
            <w:pPr>
              <w:spacing w:before="0" w:after="0"/>
              <w:jc w:val="left"/>
              <w:rPr>
                <w:sz w:val="20"/>
              </w:rPr>
            </w:pPr>
          </w:p>
        </w:tc>
        <w:tc>
          <w:tcPr>
            <w:tcW w:w="1170" w:type="dxa"/>
            <w:tcBorders>
              <w:top w:val="nil"/>
              <w:left w:val="nil"/>
              <w:bottom w:val="nil"/>
              <w:right w:val="single" w:sz="4" w:space="0" w:color="auto"/>
            </w:tcBorders>
            <w:shd w:val="clear" w:color="auto" w:fill="auto"/>
            <w:noWrap/>
            <w:vAlign w:val="bottom"/>
            <w:hideMark/>
          </w:tcPr>
          <w:p w14:paraId="25E4D636" w14:textId="77777777" w:rsidR="0040473C" w:rsidRPr="0008528F" w:rsidRDefault="0040473C" w:rsidP="00CD1EDD">
            <w:pPr>
              <w:spacing w:before="0" w:after="0"/>
              <w:jc w:val="left"/>
              <w:rPr>
                <w:sz w:val="20"/>
              </w:rPr>
            </w:pPr>
          </w:p>
        </w:tc>
      </w:tr>
      <w:tr w:rsidR="001055AA" w:rsidRPr="0008528F" w14:paraId="5A43E8C9"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664A39CB"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897FC75"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09BCFAEF"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31F361EA"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61002599"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5DAF4562"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2805A289"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B3924C1" w14:textId="77777777" w:rsidR="0040473C" w:rsidRPr="0008528F" w:rsidRDefault="0040473C" w:rsidP="00CD1EDD">
            <w:pPr>
              <w:spacing w:before="0" w:after="0"/>
              <w:jc w:val="left"/>
              <w:rPr>
                <w:sz w:val="20"/>
              </w:rPr>
            </w:pPr>
            <w:r w:rsidRPr="0008528F">
              <w:rPr>
                <w:sz w:val="20"/>
              </w:rPr>
              <w:t> </w:t>
            </w:r>
          </w:p>
        </w:tc>
      </w:tr>
      <w:tr w:rsidR="001055AA" w:rsidRPr="0008528F" w14:paraId="4FE7EFA7"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7A465DC7"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788897AC"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2B2F8F68"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5A9D4E3D"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5FCF629C"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3206DC74"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C44298D"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6DFAF723" w14:textId="77777777" w:rsidR="0040473C" w:rsidRPr="0008528F" w:rsidRDefault="0040473C" w:rsidP="00CD1EDD">
            <w:pPr>
              <w:spacing w:before="0" w:after="0"/>
              <w:jc w:val="left"/>
              <w:rPr>
                <w:sz w:val="20"/>
              </w:rPr>
            </w:pPr>
            <w:r w:rsidRPr="0008528F">
              <w:rPr>
                <w:sz w:val="20"/>
              </w:rPr>
              <w:t> </w:t>
            </w:r>
          </w:p>
        </w:tc>
      </w:tr>
      <w:tr w:rsidR="001055AA" w:rsidRPr="0008528F" w14:paraId="6F3942E2"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0FE1AFEA"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60265A1B"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3A5B9D31"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67AA4368"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09E8C81F"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425210D9"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615D2886"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DE898C3" w14:textId="77777777" w:rsidR="0040473C" w:rsidRPr="0008528F" w:rsidRDefault="0040473C" w:rsidP="00CD1EDD">
            <w:pPr>
              <w:spacing w:before="0" w:after="0"/>
              <w:jc w:val="left"/>
              <w:rPr>
                <w:sz w:val="20"/>
              </w:rPr>
            </w:pPr>
            <w:r w:rsidRPr="0008528F">
              <w:rPr>
                <w:sz w:val="20"/>
              </w:rPr>
              <w:t> </w:t>
            </w:r>
          </w:p>
        </w:tc>
      </w:tr>
      <w:tr w:rsidR="001055AA" w:rsidRPr="0008528F" w14:paraId="2B6C741A"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02C7D456"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729A103"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2312CBA8"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231BB52A"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7901CA85"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54C34E58"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63A173E3"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3E7B736" w14:textId="77777777" w:rsidR="0040473C" w:rsidRPr="0008528F" w:rsidRDefault="0040473C" w:rsidP="00CD1EDD">
            <w:pPr>
              <w:spacing w:before="0" w:after="0"/>
              <w:jc w:val="left"/>
              <w:rPr>
                <w:sz w:val="20"/>
              </w:rPr>
            </w:pPr>
            <w:r w:rsidRPr="0008528F">
              <w:rPr>
                <w:sz w:val="20"/>
              </w:rPr>
              <w:t> </w:t>
            </w:r>
          </w:p>
        </w:tc>
      </w:tr>
      <w:tr w:rsidR="001055AA" w:rsidRPr="0008528F" w14:paraId="14E3FA74" w14:textId="77777777" w:rsidTr="001055AA">
        <w:trPr>
          <w:trHeight w:val="255"/>
        </w:trPr>
        <w:tc>
          <w:tcPr>
            <w:tcW w:w="1815" w:type="dxa"/>
            <w:tcBorders>
              <w:top w:val="nil"/>
              <w:left w:val="single" w:sz="4" w:space="0" w:color="auto"/>
              <w:bottom w:val="nil"/>
              <w:right w:val="single" w:sz="4" w:space="0" w:color="auto"/>
            </w:tcBorders>
            <w:shd w:val="clear" w:color="auto" w:fill="auto"/>
            <w:noWrap/>
            <w:vAlign w:val="bottom"/>
            <w:hideMark/>
          </w:tcPr>
          <w:p w14:paraId="7AAEC8FB"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E614696"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14DDB6A5"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nil"/>
              <w:right w:val="single" w:sz="4" w:space="0" w:color="auto"/>
            </w:tcBorders>
            <w:shd w:val="clear" w:color="auto" w:fill="auto"/>
            <w:noWrap/>
            <w:vAlign w:val="bottom"/>
            <w:hideMark/>
          </w:tcPr>
          <w:p w14:paraId="18B49CBA"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nil"/>
              <w:right w:val="single" w:sz="4" w:space="0" w:color="auto"/>
            </w:tcBorders>
            <w:shd w:val="clear" w:color="auto" w:fill="auto"/>
            <w:noWrap/>
            <w:vAlign w:val="bottom"/>
            <w:hideMark/>
          </w:tcPr>
          <w:p w14:paraId="63ED5BAB"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nil"/>
              <w:right w:val="single" w:sz="4" w:space="0" w:color="auto"/>
            </w:tcBorders>
            <w:shd w:val="clear" w:color="auto" w:fill="auto"/>
            <w:noWrap/>
            <w:vAlign w:val="bottom"/>
            <w:hideMark/>
          </w:tcPr>
          <w:p w14:paraId="23E28FA1"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45ACEB87"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nil"/>
              <w:right w:val="single" w:sz="4" w:space="0" w:color="auto"/>
            </w:tcBorders>
            <w:shd w:val="clear" w:color="auto" w:fill="auto"/>
            <w:noWrap/>
            <w:vAlign w:val="bottom"/>
            <w:hideMark/>
          </w:tcPr>
          <w:p w14:paraId="15D4844B" w14:textId="77777777" w:rsidR="0040473C" w:rsidRPr="0008528F" w:rsidRDefault="0040473C" w:rsidP="00CD1EDD">
            <w:pPr>
              <w:spacing w:before="0" w:after="0"/>
              <w:jc w:val="left"/>
              <w:rPr>
                <w:sz w:val="20"/>
              </w:rPr>
            </w:pPr>
            <w:r w:rsidRPr="0008528F">
              <w:rPr>
                <w:sz w:val="20"/>
              </w:rPr>
              <w:t> </w:t>
            </w:r>
          </w:p>
        </w:tc>
      </w:tr>
      <w:tr w:rsidR="001055AA" w:rsidRPr="0008528F" w14:paraId="6355F52C" w14:textId="77777777" w:rsidTr="001055AA">
        <w:trPr>
          <w:trHeight w:val="255"/>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90BF961"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B6AAB6C"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3F1604" w14:textId="77777777" w:rsidR="0040473C" w:rsidRPr="0008528F" w:rsidRDefault="0040473C" w:rsidP="00CD1EDD">
            <w:pPr>
              <w:spacing w:before="0" w:after="0"/>
              <w:jc w:val="left"/>
              <w:rPr>
                <w:sz w:val="20"/>
              </w:rPr>
            </w:pPr>
            <w:r w:rsidRPr="0008528F">
              <w:rPr>
                <w:sz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D3C71BE" w14:textId="77777777" w:rsidR="0040473C" w:rsidRPr="0008528F" w:rsidRDefault="0040473C" w:rsidP="00CD1EDD">
            <w:pPr>
              <w:spacing w:before="0" w:after="0"/>
              <w:jc w:val="left"/>
              <w:rPr>
                <w:sz w:val="20"/>
              </w:rPr>
            </w:pPr>
            <w:r w:rsidRPr="0008528F">
              <w:rPr>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E45B25" w14:textId="77777777" w:rsidR="0040473C" w:rsidRPr="0008528F" w:rsidRDefault="0040473C" w:rsidP="00CD1EDD">
            <w:pPr>
              <w:spacing w:before="0" w:after="0"/>
              <w:jc w:val="left"/>
              <w:rPr>
                <w:sz w:val="20"/>
              </w:rPr>
            </w:pPr>
            <w:r w:rsidRPr="0008528F">
              <w:rPr>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895B1C"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78EB48" w14:textId="77777777" w:rsidR="0040473C" w:rsidRPr="0008528F" w:rsidRDefault="0040473C" w:rsidP="00CD1EDD">
            <w:pPr>
              <w:spacing w:before="0" w:after="0"/>
              <w:jc w:val="left"/>
              <w:rPr>
                <w:sz w:val="20"/>
              </w:rPr>
            </w:pPr>
            <w:r w:rsidRPr="0008528F">
              <w:rPr>
                <w:sz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EE71D25" w14:textId="77777777" w:rsidR="0040473C" w:rsidRPr="0008528F" w:rsidRDefault="0040473C" w:rsidP="00CD1EDD">
            <w:pPr>
              <w:spacing w:before="0" w:after="0"/>
              <w:jc w:val="left"/>
              <w:rPr>
                <w:sz w:val="20"/>
              </w:rPr>
            </w:pPr>
            <w:r w:rsidRPr="0008528F">
              <w:rPr>
                <w:sz w:val="20"/>
              </w:rPr>
              <w:t> </w:t>
            </w:r>
          </w:p>
        </w:tc>
      </w:tr>
      <w:tr w:rsidR="001055AA" w:rsidRPr="0008528F" w14:paraId="0DB8A9BA" w14:textId="77777777" w:rsidTr="001055AA">
        <w:trPr>
          <w:trHeight w:val="255"/>
        </w:trPr>
        <w:tc>
          <w:tcPr>
            <w:tcW w:w="1815" w:type="dxa"/>
            <w:tcBorders>
              <w:top w:val="nil"/>
              <w:left w:val="nil"/>
              <w:bottom w:val="nil"/>
              <w:right w:val="nil"/>
            </w:tcBorders>
            <w:shd w:val="clear" w:color="auto" w:fill="auto"/>
            <w:noWrap/>
            <w:vAlign w:val="bottom"/>
            <w:hideMark/>
          </w:tcPr>
          <w:p w14:paraId="73AB85ED"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163DD959"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5DC7F5BC" w14:textId="77777777" w:rsidR="0040473C" w:rsidRPr="0008528F" w:rsidRDefault="0040473C" w:rsidP="00CD1EDD">
            <w:pPr>
              <w:spacing w:before="0" w:after="0"/>
              <w:jc w:val="left"/>
              <w:rPr>
                <w:sz w:val="20"/>
              </w:rPr>
            </w:pPr>
          </w:p>
        </w:tc>
        <w:tc>
          <w:tcPr>
            <w:tcW w:w="1350" w:type="dxa"/>
            <w:tcBorders>
              <w:top w:val="nil"/>
              <w:left w:val="nil"/>
              <w:bottom w:val="nil"/>
              <w:right w:val="nil"/>
            </w:tcBorders>
            <w:shd w:val="clear" w:color="auto" w:fill="auto"/>
            <w:noWrap/>
            <w:vAlign w:val="bottom"/>
            <w:hideMark/>
          </w:tcPr>
          <w:p w14:paraId="5B2B154C"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1EDCE2F2" w14:textId="77777777" w:rsidR="0040473C" w:rsidRPr="0008528F" w:rsidRDefault="0040473C" w:rsidP="00CD1EDD">
            <w:pPr>
              <w:spacing w:before="0" w:after="0"/>
              <w:jc w:val="left"/>
              <w:rPr>
                <w:sz w:val="20"/>
              </w:rPr>
            </w:pPr>
          </w:p>
        </w:tc>
        <w:tc>
          <w:tcPr>
            <w:tcW w:w="1080" w:type="dxa"/>
            <w:tcBorders>
              <w:top w:val="nil"/>
              <w:left w:val="nil"/>
              <w:bottom w:val="nil"/>
              <w:right w:val="nil"/>
            </w:tcBorders>
            <w:shd w:val="clear" w:color="auto" w:fill="auto"/>
            <w:noWrap/>
            <w:vAlign w:val="bottom"/>
            <w:hideMark/>
          </w:tcPr>
          <w:p w14:paraId="1AFB2BB1"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30C7ED9C"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00F33804" w14:textId="77777777" w:rsidR="0040473C" w:rsidRPr="0008528F" w:rsidRDefault="0040473C" w:rsidP="00CD1EDD">
            <w:pPr>
              <w:spacing w:before="0" w:after="0"/>
              <w:jc w:val="left"/>
              <w:rPr>
                <w:sz w:val="20"/>
              </w:rPr>
            </w:pPr>
          </w:p>
        </w:tc>
      </w:tr>
      <w:tr w:rsidR="001055AA" w:rsidRPr="0008528F" w14:paraId="53F48B75" w14:textId="77777777" w:rsidTr="001055AA">
        <w:trPr>
          <w:trHeight w:val="255"/>
        </w:trPr>
        <w:tc>
          <w:tcPr>
            <w:tcW w:w="5595" w:type="dxa"/>
            <w:gridSpan w:val="4"/>
            <w:tcBorders>
              <w:top w:val="nil"/>
              <w:left w:val="nil"/>
              <w:bottom w:val="nil"/>
              <w:right w:val="nil"/>
            </w:tcBorders>
            <w:shd w:val="clear" w:color="auto" w:fill="auto"/>
            <w:noWrap/>
            <w:vAlign w:val="bottom"/>
            <w:hideMark/>
          </w:tcPr>
          <w:p w14:paraId="005407DC" w14:textId="77777777" w:rsidR="0040473C" w:rsidRPr="0008528F" w:rsidRDefault="0040473C" w:rsidP="00CD1EDD">
            <w:pPr>
              <w:spacing w:before="0" w:after="0"/>
              <w:jc w:val="left"/>
              <w:rPr>
                <w:sz w:val="20"/>
              </w:rPr>
            </w:pPr>
            <w:r w:rsidRPr="0008528F">
              <w:rPr>
                <w:sz w:val="20"/>
              </w:rPr>
              <w:t>(1)   Initials of the team member issued and responsible for the forms.</w:t>
            </w:r>
          </w:p>
        </w:tc>
        <w:tc>
          <w:tcPr>
            <w:tcW w:w="1260" w:type="dxa"/>
            <w:tcBorders>
              <w:top w:val="nil"/>
              <w:left w:val="nil"/>
              <w:bottom w:val="nil"/>
              <w:right w:val="nil"/>
            </w:tcBorders>
            <w:shd w:val="clear" w:color="auto" w:fill="auto"/>
            <w:noWrap/>
            <w:vAlign w:val="bottom"/>
            <w:hideMark/>
          </w:tcPr>
          <w:p w14:paraId="32BE463F" w14:textId="77777777" w:rsidR="0040473C" w:rsidRPr="0008528F" w:rsidRDefault="0040473C" w:rsidP="00CD1EDD">
            <w:pPr>
              <w:spacing w:before="0" w:after="0"/>
              <w:jc w:val="left"/>
              <w:rPr>
                <w:sz w:val="20"/>
              </w:rPr>
            </w:pPr>
          </w:p>
        </w:tc>
        <w:tc>
          <w:tcPr>
            <w:tcW w:w="1080" w:type="dxa"/>
            <w:tcBorders>
              <w:top w:val="nil"/>
              <w:left w:val="nil"/>
              <w:bottom w:val="nil"/>
              <w:right w:val="nil"/>
            </w:tcBorders>
            <w:shd w:val="clear" w:color="auto" w:fill="auto"/>
            <w:noWrap/>
            <w:vAlign w:val="bottom"/>
            <w:hideMark/>
          </w:tcPr>
          <w:p w14:paraId="4899AD60"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4A9D1B39"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082A25B0" w14:textId="77777777" w:rsidR="0040473C" w:rsidRPr="0008528F" w:rsidRDefault="0040473C" w:rsidP="00CD1EDD">
            <w:pPr>
              <w:spacing w:before="0" w:after="0"/>
              <w:jc w:val="left"/>
              <w:rPr>
                <w:sz w:val="20"/>
              </w:rPr>
            </w:pPr>
          </w:p>
        </w:tc>
      </w:tr>
      <w:tr w:rsidR="001055AA" w:rsidRPr="0008528F" w14:paraId="709D3EDF" w14:textId="77777777" w:rsidTr="001055AA">
        <w:trPr>
          <w:trHeight w:val="255"/>
        </w:trPr>
        <w:tc>
          <w:tcPr>
            <w:tcW w:w="4245" w:type="dxa"/>
            <w:gridSpan w:val="3"/>
            <w:tcBorders>
              <w:top w:val="nil"/>
              <w:left w:val="nil"/>
              <w:bottom w:val="nil"/>
              <w:right w:val="nil"/>
            </w:tcBorders>
            <w:shd w:val="clear" w:color="auto" w:fill="auto"/>
            <w:noWrap/>
            <w:vAlign w:val="bottom"/>
            <w:hideMark/>
          </w:tcPr>
          <w:p w14:paraId="6796DC05" w14:textId="77777777" w:rsidR="0040473C" w:rsidRPr="0008528F" w:rsidRDefault="0040473C" w:rsidP="00CD1EDD">
            <w:pPr>
              <w:spacing w:before="0" w:after="0"/>
              <w:jc w:val="left"/>
              <w:rPr>
                <w:sz w:val="20"/>
              </w:rPr>
            </w:pPr>
            <w:r w:rsidRPr="0008528F">
              <w:rPr>
                <w:sz w:val="20"/>
              </w:rPr>
              <w:t>(2)   Form numbers of forms issued to the team.</w:t>
            </w:r>
          </w:p>
        </w:tc>
        <w:tc>
          <w:tcPr>
            <w:tcW w:w="1350" w:type="dxa"/>
            <w:tcBorders>
              <w:top w:val="nil"/>
              <w:left w:val="nil"/>
              <w:bottom w:val="nil"/>
              <w:right w:val="nil"/>
            </w:tcBorders>
            <w:shd w:val="clear" w:color="auto" w:fill="auto"/>
            <w:noWrap/>
            <w:vAlign w:val="bottom"/>
            <w:hideMark/>
          </w:tcPr>
          <w:p w14:paraId="2183A7D3" w14:textId="77777777" w:rsidR="0040473C" w:rsidRPr="0008528F" w:rsidRDefault="0040473C" w:rsidP="00CD1EDD">
            <w:pPr>
              <w:spacing w:before="0" w:after="0"/>
              <w:jc w:val="left"/>
              <w:rPr>
                <w:sz w:val="20"/>
              </w:rPr>
            </w:pPr>
          </w:p>
        </w:tc>
        <w:tc>
          <w:tcPr>
            <w:tcW w:w="1260" w:type="dxa"/>
            <w:tcBorders>
              <w:top w:val="nil"/>
              <w:left w:val="nil"/>
              <w:bottom w:val="nil"/>
              <w:right w:val="nil"/>
            </w:tcBorders>
            <w:shd w:val="clear" w:color="auto" w:fill="auto"/>
            <w:noWrap/>
            <w:vAlign w:val="bottom"/>
            <w:hideMark/>
          </w:tcPr>
          <w:p w14:paraId="52CA14BB" w14:textId="77777777" w:rsidR="0040473C" w:rsidRPr="0008528F" w:rsidRDefault="0040473C" w:rsidP="00CD1EDD">
            <w:pPr>
              <w:spacing w:before="0" w:after="0"/>
              <w:jc w:val="left"/>
              <w:rPr>
                <w:sz w:val="20"/>
              </w:rPr>
            </w:pPr>
          </w:p>
        </w:tc>
        <w:tc>
          <w:tcPr>
            <w:tcW w:w="1080" w:type="dxa"/>
            <w:tcBorders>
              <w:top w:val="nil"/>
              <w:left w:val="nil"/>
              <w:bottom w:val="nil"/>
              <w:right w:val="nil"/>
            </w:tcBorders>
            <w:shd w:val="clear" w:color="auto" w:fill="auto"/>
            <w:noWrap/>
            <w:vAlign w:val="bottom"/>
            <w:hideMark/>
          </w:tcPr>
          <w:p w14:paraId="2D8A23ED"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2790F458"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7EFAA51D" w14:textId="77777777" w:rsidR="0040473C" w:rsidRPr="0008528F" w:rsidRDefault="0040473C" w:rsidP="00CD1EDD">
            <w:pPr>
              <w:spacing w:before="0" w:after="0"/>
              <w:jc w:val="left"/>
              <w:rPr>
                <w:sz w:val="20"/>
              </w:rPr>
            </w:pPr>
          </w:p>
        </w:tc>
      </w:tr>
      <w:tr w:rsidR="001055AA" w:rsidRPr="0008528F" w14:paraId="42F6527D" w14:textId="77777777" w:rsidTr="001055AA">
        <w:trPr>
          <w:trHeight w:val="255"/>
        </w:trPr>
        <w:tc>
          <w:tcPr>
            <w:tcW w:w="5595" w:type="dxa"/>
            <w:gridSpan w:val="4"/>
            <w:tcBorders>
              <w:top w:val="nil"/>
              <w:left w:val="nil"/>
              <w:bottom w:val="nil"/>
              <w:right w:val="nil"/>
            </w:tcBorders>
            <w:shd w:val="clear" w:color="auto" w:fill="auto"/>
            <w:noWrap/>
            <w:vAlign w:val="bottom"/>
            <w:hideMark/>
          </w:tcPr>
          <w:p w14:paraId="5B81DC3C" w14:textId="77777777" w:rsidR="0040473C" w:rsidRPr="0008528F" w:rsidRDefault="0040473C" w:rsidP="00CD1EDD">
            <w:pPr>
              <w:spacing w:before="0" w:after="0"/>
              <w:jc w:val="left"/>
              <w:rPr>
                <w:sz w:val="20"/>
              </w:rPr>
            </w:pPr>
            <w:r w:rsidRPr="0008528F">
              <w:rPr>
                <w:sz w:val="20"/>
              </w:rPr>
              <w:t>(3)   Initials of the team member returning the used forms.</w:t>
            </w:r>
          </w:p>
        </w:tc>
        <w:tc>
          <w:tcPr>
            <w:tcW w:w="1260" w:type="dxa"/>
            <w:tcBorders>
              <w:top w:val="nil"/>
              <w:left w:val="nil"/>
              <w:bottom w:val="nil"/>
              <w:right w:val="nil"/>
            </w:tcBorders>
            <w:shd w:val="clear" w:color="auto" w:fill="auto"/>
            <w:noWrap/>
            <w:vAlign w:val="bottom"/>
            <w:hideMark/>
          </w:tcPr>
          <w:p w14:paraId="1FEAC0F1" w14:textId="77777777" w:rsidR="0040473C" w:rsidRPr="0008528F" w:rsidRDefault="0040473C" w:rsidP="00CD1EDD">
            <w:pPr>
              <w:spacing w:before="0" w:after="0"/>
              <w:jc w:val="left"/>
              <w:rPr>
                <w:sz w:val="20"/>
              </w:rPr>
            </w:pPr>
          </w:p>
        </w:tc>
        <w:tc>
          <w:tcPr>
            <w:tcW w:w="1080" w:type="dxa"/>
            <w:tcBorders>
              <w:top w:val="nil"/>
              <w:left w:val="nil"/>
              <w:bottom w:val="nil"/>
              <w:right w:val="nil"/>
            </w:tcBorders>
            <w:shd w:val="clear" w:color="auto" w:fill="auto"/>
            <w:noWrap/>
            <w:vAlign w:val="bottom"/>
            <w:hideMark/>
          </w:tcPr>
          <w:p w14:paraId="0BF89A8C"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5B4D9ACA"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4B381E7C" w14:textId="77777777" w:rsidR="0040473C" w:rsidRPr="0008528F" w:rsidRDefault="0040473C" w:rsidP="00CD1EDD">
            <w:pPr>
              <w:spacing w:before="0" w:after="0"/>
              <w:jc w:val="left"/>
              <w:rPr>
                <w:sz w:val="20"/>
              </w:rPr>
            </w:pPr>
          </w:p>
        </w:tc>
      </w:tr>
      <w:tr w:rsidR="001055AA" w:rsidRPr="0008528F" w14:paraId="78874C0A" w14:textId="77777777" w:rsidTr="001055AA">
        <w:trPr>
          <w:trHeight w:val="255"/>
        </w:trPr>
        <w:tc>
          <w:tcPr>
            <w:tcW w:w="6855" w:type="dxa"/>
            <w:gridSpan w:val="5"/>
            <w:tcBorders>
              <w:top w:val="nil"/>
              <w:left w:val="nil"/>
              <w:bottom w:val="nil"/>
              <w:right w:val="nil"/>
            </w:tcBorders>
            <w:shd w:val="clear" w:color="auto" w:fill="auto"/>
            <w:noWrap/>
            <w:vAlign w:val="bottom"/>
            <w:hideMark/>
          </w:tcPr>
          <w:p w14:paraId="7EC75E46" w14:textId="77777777" w:rsidR="0040473C" w:rsidRPr="0008528F" w:rsidRDefault="0040473C" w:rsidP="00CD1EDD">
            <w:pPr>
              <w:spacing w:before="0" w:after="0"/>
              <w:jc w:val="left"/>
              <w:rPr>
                <w:sz w:val="20"/>
              </w:rPr>
            </w:pPr>
            <w:r w:rsidRPr="0008528F">
              <w:rPr>
                <w:sz w:val="20"/>
              </w:rPr>
              <w:t>(4)   Form numbers of forms used to record inventory on hand by the team.</w:t>
            </w:r>
          </w:p>
        </w:tc>
        <w:tc>
          <w:tcPr>
            <w:tcW w:w="1080" w:type="dxa"/>
            <w:tcBorders>
              <w:top w:val="nil"/>
              <w:left w:val="nil"/>
              <w:bottom w:val="nil"/>
              <w:right w:val="nil"/>
            </w:tcBorders>
            <w:shd w:val="clear" w:color="auto" w:fill="auto"/>
            <w:noWrap/>
            <w:vAlign w:val="bottom"/>
            <w:hideMark/>
          </w:tcPr>
          <w:p w14:paraId="41788D9A"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48DD359F"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695EE515" w14:textId="77777777" w:rsidR="0040473C" w:rsidRPr="0008528F" w:rsidRDefault="0040473C" w:rsidP="00CD1EDD">
            <w:pPr>
              <w:spacing w:before="0" w:after="0"/>
              <w:jc w:val="left"/>
              <w:rPr>
                <w:sz w:val="20"/>
              </w:rPr>
            </w:pPr>
          </w:p>
        </w:tc>
      </w:tr>
      <w:tr w:rsidR="001055AA" w:rsidRPr="0008528F" w14:paraId="15227BC0" w14:textId="77777777" w:rsidTr="001055AA">
        <w:trPr>
          <w:trHeight w:val="255"/>
        </w:trPr>
        <w:tc>
          <w:tcPr>
            <w:tcW w:w="5595" w:type="dxa"/>
            <w:gridSpan w:val="4"/>
            <w:tcBorders>
              <w:top w:val="nil"/>
              <w:left w:val="nil"/>
              <w:bottom w:val="nil"/>
              <w:right w:val="nil"/>
            </w:tcBorders>
            <w:shd w:val="clear" w:color="auto" w:fill="auto"/>
            <w:noWrap/>
            <w:vAlign w:val="bottom"/>
            <w:hideMark/>
          </w:tcPr>
          <w:p w14:paraId="797D0DAC" w14:textId="77777777" w:rsidR="0040473C" w:rsidRPr="0008528F" w:rsidRDefault="0040473C" w:rsidP="00CD1EDD">
            <w:pPr>
              <w:spacing w:before="0" w:after="0"/>
              <w:jc w:val="left"/>
              <w:rPr>
                <w:sz w:val="20"/>
              </w:rPr>
            </w:pPr>
            <w:r w:rsidRPr="0008528F">
              <w:rPr>
                <w:sz w:val="20"/>
              </w:rPr>
              <w:t>(5)   Initials of the team member returning the unused forms.</w:t>
            </w:r>
          </w:p>
        </w:tc>
        <w:tc>
          <w:tcPr>
            <w:tcW w:w="1260" w:type="dxa"/>
            <w:tcBorders>
              <w:top w:val="nil"/>
              <w:left w:val="nil"/>
              <w:bottom w:val="nil"/>
              <w:right w:val="nil"/>
            </w:tcBorders>
            <w:shd w:val="clear" w:color="auto" w:fill="auto"/>
            <w:noWrap/>
            <w:vAlign w:val="bottom"/>
            <w:hideMark/>
          </w:tcPr>
          <w:p w14:paraId="4D826B02" w14:textId="77777777" w:rsidR="0040473C" w:rsidRPr="0008528F" w:rsidRDefault="0040473C" w:rsidP="00CD1EDD">
            <w:pPr>
              <w:spacing w:before="0" w:after="0"/>
              <w:jc w:val="left"/>
              <w:rPr>
                <w:sz w:val="20"/>
              </w:rPr>
            </w:pPr>
          </w:p>
        </w:tc>
        <w:tc>
          <w:tcPr>
            <w:tcW w:w="1080" w:type="dxa"/>
            <w:tcBorders>
              <w:top w:val="nil"/>
              <w:left w:val="nil"/>
              <w:bottom w:val="nil"/>
              <w:right w:val="nil"/>
            </w:tcBorders>
            <w:shd w:val="clear" w:color="auto" w:fill="auto"/>
            <w:noWrap/>
            <w:vAlign w:val="bottom"/>
            <w:hideMark/>
          </w:tcPr>
          <w:p w14:paraId="1F4FF861"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59F8741C"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2B8B2BF7" w14:textId="77777777" w:rsidR="0040473C" w:rsidRPr="0008528F" w:rsidRDefault="0040473C" w:rsidP="00CD1EDD">
            <w:pPr>
              <w:spacing w:before="0" w:after="0"/>
              <w:jc w:val="left"/>
              <w:rPr>
                <w:sz w:val="20"/>
              </w:rPr>
            </w:pPr>
          </w:p>
        </w:tc>
      </w:tr>
      <w:tr w:rsidR="001055AA" w:rsidRPr="0008528F" w14:paraId="629E8011" w14:textId="77777777" w:rsidTr="001055AA">
        <w:trPr>
          <w:trHeight w:val="255"/>
        </w:trPr>
        <w:tc>
          <w:tcPr>
            <w:tcW w:w="6855" w:type="dxa"/>
            <w:gridSpan w:val="5"/>
            <w:tcBorders>
              <w:top w:val="nil"/>
              <w:left w:val="nil"/>
              <w:bottom w:val="nil"/>
              <w:right w:val="nil"/>
            </w:tcBorders>
            <w:shd w:val="clear" w:color="auto" w:fill="auto"/>
            <w:noWrap/>
            <w:vAlign w:val="bottom"/>
            <w:hideMark/>
          </w:tcPr>
          <w:p w14:paraId="66F22022" w14:textId="77777777" w:rsidR="0040473C" w:rsidRPr="0008528F" w:rsidRDefault="0040473C" w:rsidP="00CD1EDD">
            <w:pPr>
              <w:spacing w:before="0" w:after="0"/>
              <w:jc w:val="left"/>
              <w:rPr>
                <w:sz w:val="20"/>
              </w:rPr>
            </w:pPr>
            <w:r w:rsidRPr="0008528F">
              <w:rPr>
                <w:sz w:val="20"/>
              </w:rPr>
              <w:t>(6)   Form numbers of all unused forms returned at the conclusion of the count.</w:t>
            </w:r>
          </w:p>
        </w:tc>
        <w:tc>
          <w:tcPr>
            <w:tcW w:w="1080" w:type="dxa"/>
            <w:tcBorders>
              <w:top w:val="nil"/>
              <w:left w:val="nil"/>
              <w:bottom w:val="nil"/>
              <w:right w:val="nil"/>
            </w:tcBorders>
            <w:shd w:val="clear" w:color="auto" w:fill="auto"/>
            <w:noWrap/>
            <w:vAlign w:val="bottom"/>
            <w:hideMark/>
          </w:tcPr>
          <w:p w14:paraId="71C798B5"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113A4839" w14:textId="77777777" w:rsidR="0040473C" w:rsidRPr="0008528F" w:rsidRDefault="0040473C" w:rsidP="00CD1EDD">
            <w:pPr>
              <w:spacing w:before="0" w:after="0"/>
              <w:jc w:val="left"/>
              <w:rPr>
                <w:sz w:val="20"/>
              </w:rPr>
            </w:pPr>
          </w:p>
        </w:tc>
        <w:tc>
          <w:tcPr>
            <w:tcW w:w="1170" w:type="dxa"/>
            <w:tcBorders>
              <w:top w:val="nil"/>
              <w:left w:val="nil"/>
              <w:bottom w:val="nil"/>
              <w:right w:val="nil"/>
            </w:tcBorders>
            <w:shd w:val="clear" w:color="auto" w:fill="auto"/>
            <w:noWrap/>
            <w:vAlign w:val="bottom"/>
            <w:hideMark/>
          </w:tcPr>
          <w:p w14:paraId="03F17EEA" w14:textId="77777777" w:rsidR="0040473C" w:rsidRPr="0008528F" w:rsidRDefault="0040473C" w:rsidP="00CD1EDD">
            <w:pPr>
              <w:spacing w:before="0" w:after="0"/>
              <w:jc w:val="left"/>
              <w:rPr>
                <w:sz w:val="20"/>
              </w:rPr>
            </w:pPr>
          </w:p>
        </w:tc>
      </w:tr>
      <w:tr w:rsidR="001055AA" w:rsidRPr="0040473C" w14:paraId="205809E3" w14:textId="77777777" w:rsidTr="001055AA">
        <w:trPr>
          <w:trHeight w:val="20"/>
        </w:trPr>
        <w:tc>
          <w:tcPr>
            <w:tcW w:w="1815" w:type="dxa"/>
            <w:tcBorders>
              <w:top w:val="nil"/>
              <w:left w:val="nil"/>
              <w:bottom w:val="nil"/>
              <w:right w:val="nil"/>
            </w:tcBorders>
            <w:shd w:val="clear" w:color="auto" w:fill="auto"/>
            <w:noWrap/>
            <w:vAlign w:val="bottom"/>
            <w:hideMark/>
          </w:tcPr>
          <w:p w14:paraId="75A3FAB1" w14:textId="77777777" w:rsidR="0040473C" w:rsidRPr="0040473C" w:rsidRDefault="0040473C" w:rsidP="00CD1EDD">
            <w:pPr>
              <w:spacing w:before="0" w:after="0"/>
              <w:jc w:val="left"/>
              <w:rPr>
                <w:sz w:val="16"/>
                <w:szCs w:val="16"/>
              </w:rPr>
            </w:pPr>
          </w:p>
        </w:tc>
        <w:tc>
          <w:tcPr>
            <w:tcW w:w="1170" w:type="dxa"/>
            <w:tcBorders>
              <w:top w:val="nil"/>
              <w:left w:val="nil"/>
              <w:bottom w:val="nil"/>
              <w:right w:val="nil"/>
            </w:tcBorders>
            <w:shd w:val="clear" w:color="auto" w:fill="auto"/>
            <w:noWrap/>
            <w:vAlign w:val="bottom"/>
            <w:hideMark/>
          </w:tcPr>
          <w:p w14:paraId="2ED5556F" w14:textId="77777777" w:rsidR="0040473C" w:rsidRPr="0040473C" w:rsidRDefault="0040473C" w:rsidP="00CD1EDD">
            <w:pPr>
              <w:spacing w:before="0" w:after="0"/>
              <w:jc w:val="left"/>
              <w:rPr>
                <w:sz w:val="16"/>
                <w:szCs w:val="16"/>
              </w:rPr>
            </w:pPr>
          </w:p>
        </w:tc>
        <w:tc>
          <w:tcPr>
            <w:tcW w:w="1260" w:type="dxa"/>
            <w:tcBorders>
              <w:top w:val="nil"/>
              <w:left w:val="nil"/>
              <w:bottom w:val="nil"/>
              <w:right w:val="nil"/>
            </w:tcBorders>
            <w:shd w:val="clear" w:color="auto" w:fill="auto"/>
            <w:noWrap/>
            <w:vAlign w:val="bottom"/>
            <w:hideMark/>
          </w:tcPr>
          <w:p w14:paraId="493B43FD" w14:textId="77777777" w:rsidR="0040473C" w:rsidRPr="0040473C" w:rsidRDefault="0040473C" w:rsidP="00CD1EDD">
            <w:pPr>
              <w:spacing w:before="0" w:after="0"/>
              <w:jc w:val="left"/>
              <w:rPr>
                <w:sz w:val="16"/>
                <w:szCs w:val="16"/>
              </w:rPr>
            </w:pPr>
          </w:p>
        </w:tc>
        <w:tc>
          <w:tcPr>
            <w:tcW w:w="1350" w:type="dxa"/>
            <w:tcBorders>
              <w:top w:val="nil"/>
              <w:left w:val="nil"/>
              <w:bottom w:val="nil"/>
              <w:right w:val="nil"/>
            </w:tcBorders>
            <w:shd w:val="clear" w:color="auto" w:fill="auto"/>
            <w:noWrap/>
            <w:vAlign w:val="bottom"/>
            <w:hideMark/>
          </w:tcPr>
          <w:p w14:paraId="01AC1163" w14:textId="77777777" w:rsidR="0040473C" w:rsidRPr="0040473C" w:rsidRDefault="0040473C" w:rsidP="00CD1EDD">
            <w:pPr>
              <w:spacing w:before="0" w:after="0"/>
              <w:jc w:val="left"/>
              <w:rPr>
                <w:sz w:val="16"/>
                <w:szCs w:val="16"/>
              </w:rPr>
            </w:pPr>
          </w:p>
        </w:tc>
        <w:tc>
          <w:tcPr>
            <w:tcW w:w="1260" w:type="dxa"/>
            <w:tcBorders>
              <w:top w:val="nil"/>
              <w:left w:val="nil"/>
              <w:bottom w:val="nil"/>
              <w:right w:val="nil"/>
            </w:tcBorders>
            <w:shd w:val="clear" w:color="auto" w:fill="auto"/>
            <w:noWrap/>
            <w:vAlign w:val="bottom"/>
            <w:hideMark/>
          </w:tcPr>
          <w:p w14:paraId="4123B996" w14:textId="77777777" w:rsidR="0040473C" w:rsidRPr="0040473C" w:rsidRDefault="0040473C" w:rsidP="00CD1EDD">
            <w:pPr>
              <w:spacing w:before="0" w:after="0"/>
              <w:jc w:val="left"/>
              <w:rPr>
                <w:sz w:val="16"/>
                <w:szCs w:val="16"/>
              </w:rPr>
            </w:pPr>
          </w:p>
        </w:tc>
        <w:tc>
          <w:tcPr>
            <w:tcW w:w="1080" w:type="dxa"/>
            <w:tcBorders>
              <w:top w:val="nil"/>
              <w:left w:val="nil"/>
              <w:bottom w:val="nil"/>
              <w:right w:val="nil"/>
            </w:tcBorders>
            <w:shd w:val="clear" w:color="auto" w:fill="auto"/>
            <w:noWrap/>
            <w:vAlign w:val="bottom"/>
            <w:hideMark/>
          </w:tcPr>
          <w:p w14:paraId="1293994C" w14:textId="77777777" w:rsidR="0040473C" w:rsidRPr="0040473C" w:rsidRDefault="0040473C" w:rsidP="00CD1EDD">
            <w:pPr>
              <w:spacing w:before="0" w:after="0"/>
              <w:jc w:val="left"/>
              <w:rPr>
                <w:sz w:val="16"/>
                <w:szCs w:val="16"/>
              </w:rPr>
            </w:pPr>
          </w:p>
        </w:tc>
        <w:tc>
          <w:tcPr>
            <w:tcW w:w="1170" w:type="dxa"/>
            <w:tcBorders>
              <w:top w:val="nil"/>
              <w:left w:val="nil"/>
              <w:bottom w:val="nil"/>
              <w:right w:val="nil"/>
            </w:tcBorders>
            <w:shd w:val="clear" w:color="auto" w:fill="auto"/>
            <w:noWrap/>
            <w:vAlign w:val="bottom"/>
            <w:hideMark/>
          </w:tcPr>
          <w:p w14:paraId="436CAF02" w14:textId="77777777" w:rsidR="0040473C" w:rsidRPr="0040473C" w:rsidRDefault="0040473C" w:rsidP="00CD1EDD">
            <w:pPr>
              <w:spacing w:before="0" w:after="0"/>
              <w:jc w:val="left"/>
              <w:rPr>
                <w:sz w:val="16"/>
                <w:szCs w:val="16"/>
              </w:rPr>
            </w:pPr>
          </w:p>
        </w:tc>
        <w:tc>
          <w:tcPr>
            <w:tcW w:w="1170" w:type="dxa"/>
            <w:tcBorders>
              <w:top w:val="nil"/>
              <w:left w:val="nil"/>
              <w:bottom w:val="nil"/>
              <w:right w:val="nil"/>
            </w:tcBorders>
            <w:shd w:val="clear" w:color="auto" w:fill="auto"/>
            <w:noWrap/>
            <w:vAlign w:val="bottom"/>
            <w:hideMark/>
          </w:tcPr>
          <w:p w14:paraId="3B82B49F" w14:textId="77777777" w:rsidR="0040473C" w:rsidRPr="0040473C" w:rsidRDefault="0040473C" w:rsidP="00CD1EDD">
            <w:pPr>
              <w:spacing w:before="0" w:after="0"/>
              <w:jc w:val="left"/>
              <w:rPr>
                <w:sz w:val="16"/>
                <w:szCs w:val="16"/>
              </w:rPr>
            </w:pPr>
          </w:p>
        </w:tc>
      </w:tr>
      <w:tr w:rsidR="002009B4" w:rsidRPr="0008528F" w14:paraId="058A760E" w14:textId="77777777" w:rsidTr="00266AA0">
        <w:trPr>
          <w:trHeight w:val="255"/>
        </w:trPr>
        <w:tc>
          <w:tcPr>
            <w:tcW w:w="10275" w:type="dxa"/>
            <w:gridSpan w:val="8"/>
            <w:tcBorders>
              <w:top w:val="nil"/>
              <w:left w:val="nil"/>
              <w:bottom w:val="nil"/>
              <w:right w:val="nil"/>
            </w:tcBorders>
            <w:shd w:val="clear" w:color="auto" w:fill="auto"/>
            <w:noWrap/>
            <w:vAlign w:val="bottom"/>
            <w:hideMark/>
          </w:tcPr>
          <w:p w14:paraId="6C7FFFEF" w14:textId="77777777" w:rsidR="002009B4" w:rsidRPr="0008528F" w:rsidRDefault="002009B4" w:rsidP="00CD1EDD">
            <w:pPr>
              <w:spacing w:before="0" w:after="0"/>
              <w:jc w:val="left"/>
              <w:rPr>
                <w:sz w:val="20"/>
              </w:rPr>
            </w:pPr>
            <w:r w:rsidRPr="0008528F">
              <w:rPr>
                <w:sz w:val="20"/>
              </w:rPr>
              <w:t>NOTE:  Each team must account for all forms issued to it.  If any forms are missing, the team must give an explanation.</w:t>
            </w:r>
          </w:p>
        </w:tc>
      </w:tr>
    </w:tbl>
    <w:p w14:paraId="2BDF9EE0" w14:textId="77777777" w:rsidR="0040473C" w:rsidRDefault="0040473C" w:rsidP="0040473C">
      <w:pPr>
        <w:spacing w:before="0" w:after="200" w:line="276" w:lineRule="auto"/>
        <w:jc w:val="left"/>
        <w:rPr>
          <w:szCs w:val="24"/>
        </w:rPr>
      </w:pPr>
      <w:r>
        <w:rPr>
          <w:szCs w:val="24"/>
        </w:rPr>
        <w:br w:type="page"/>
      </w:r>
    </w:p>
    <w:p w14:paraId="3CDEBC29" w14:textId="77777777" w:rsidR="0012040B" w:rsidRDefault="0040473C" w:rsidP="003B02BA">
      <w:pPr>
        <w:pStyle w:val="Heading2"/>
      </w:pPr>
      <w:bookmarkStart w:id="398" w:name="_Toc166149303"/>
      <w:r w:rsidRPr="00E550C5">
        <w:lastRenderedPageBreak/>
        <w:t>EXHIBIT</w:t>
      </w:r>
      <w:r>
        <w:t xml:space="preserve"> </w:t>
      </w:r>
      <w:r w:rsidR="004C7600">
        <w:t>3.8</w:t>
      </w:r>
      <w:r w:rsidRPr="00E550C5">
        <w:t>(A)</w:t>
      </w:r>
      <w:bookmarkEnd w:id="398"/>
    </w:p>
    <w:p w14:paraId="47E540FE" w14:textId="77777777" w:rsidR="0040473C" w:rsidRPr="002D7D97" w:rsidRDefault="002D7D97" w:rsidP="0040473C">
      <w:pPr>
        <w:jc w:val="right"/>
        <w:rPr>
          <w:szCs w:val="24"/>
        </w:rPr>
      </w:pPr>
      <w:r w:rsidRPr="002D7D97">
        <w:rPr>
          <w:szCs w:val="24"/>
        </w:rPr>
        <w:t>Page 1 of 2</w:t>
      </w:r>
    </w:p>
    <w:p w14:paraId="40FB30C8" w14:textId="77777777" w:rsidR="0040473C" w:rsidRPr="00AD6D09" w:rsidRDefault="0040473C" w:rsidP="0040473C">
      <w:pPr>
        <w:jc w:val="center"/>
        <w:rPr>
          <w:b/>
          <w:sz w:val="28"/>
        </w:rPr>
      </w:pPr>
      <w:r w:rsidRPr="00AD6D09">
        <w:rPr>
          <w:b/>
          <w:sz w:val="28"/>
        </w:rPr>
        <w:t>CAPITALIZATION POLICY CRITERIA</w:t>
      </w:r>
    </w:p>
    <w:p w14:paraId="7F8B40B2" w14:textId="77777777" w:rsidR="0040473C" w:rsidRPr="00E550C5" w:rsidRDefault="0040473C" w:rsidP="0040473C">
      <w:pPr>
        <w:jc w:val="center"/>
        <w:rPr>
          <w:sz w:val="22"/>
        </w:rPr>
      </w:pPr>
    </w:p>
    <w:p w14:paraId="1C3DD6EA" w14:textId="77777777" w:rsidR="0040473C" w:rsidRPr="00E550C5" w:rsidRDefault="0040473C" w:rsidP="004047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48"/>
        <w:rPr>
          <w:sz w:val="22"/>
        </w:rPr>
      </w:pPr>
      <w:r w:rsidRPr="00E550C5">
        <w:rPr>
          <w:sz w:val="22"/>
        </w:rPr>
        <w:t xml:space="preserve">The State’s capitalization policy </w:t>
      </w:r>
      <w:r w:rsidRPr="00E550C5">
        <w:rPr>
          <w:b/>
          <w:bCs/>
          <w:i/>
          <w:iCs/>
          <w:sz w:val="22"/>
          <w:u w:val="single"/>
        </w:rPr>
        <w:t>requires</w:t>
      </w:r>
      <w:r w:rsidRPr="00E550C5">
        <w:rPr>
          <w:sz w:val="22"/>
        </w:rPr>
        <w:t xml:space="preserve"> agencies to capitalize assets that </w:t>
      </w:r>
      <w:r w:rsidRPr="00E550C5">
        <w:rPr>
          <w:b/>
          <w:i/>
          <w:sz w:val="22"/>
          <w:u w:val="single"/>
        </w:rPr>
        <w:t>meet both</w:t>
      </w:r>
      <w:r w:rsidRPr="00E550C5">
        <w:rPr>
          <w:sz w:val="22"/>
        </w:rPr>
        <w:t xml:space="preserve"> the minimum dollar value and minimum useful life requirements described below:</w:t>
      </w:r>
    </w:p>
    <w:p w14:paraId="0B6A985E"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ind w:left="187" w:right="749"/>
        <w:rPr>
          <w:b/>
          <w:sz w:val="22"/>
        </w:rPr>
      </w:pPr>
      <w:r w:rsidRPr="00E550C5">
        <w:rPr>
          <w:b/>
          <w:sz w:val="22"/>
        </w:rPr>
        <w:t>Dollar Thresholds: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4"/>
        <w:gridCol w:w="4532"/>
      </w:tblGrid>
      <w:tr w:rsidR="0040473C" w:rsidRPr="00E550C5" w14:paraId="6472233A" w14:textId="77777777" w:rsidTr="00CD1EDD">
        <w:trPr>
          <w:cantSplit/>
        </w:trPr>
        <w:tc>
          <w:tcPr>
            <w:tcW w:w="5688" w:type="dxa"/>
            <w:tcBorders>
              <w:top w:val="double" w:sz="4" w:space="0" w:color="auto"/>
              <w:left w:val="double" w:sz="4" w:space="0" w:color="auto"/>
              <w:bottom w:val="double" w:sz="4" w:space="0" w:color="auto"/>
              <w:right w:val="double" w:sz="4" w:space="0" w:color="auto"/>
            </w:tcBorders>
            <w:vAlign w:val="bottom"/>
          </w:tcPr>
          <w:p w14:paraId="1363FAF5" w14:textId="77777777" w:rsidR="0040473C" w:rsidRPr="00E550C5" w:rsidRDefault="0040473C" w:rsidP="00CD1E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48"/>
              <w:jc w:val="center"/>
              <w:rPr>
                <w:caps/>
                <w:sz w:val="22"/>
              </w:rPr>
            </w:pPr>
            <w:r w:rsidRPr="00E550C5">
              <w:rPr>
                <w:caps/>
                <w:sz w:val="22"/>
              </w:rPr>
              <w:t>Asset Category</w:t>
            </w:r>
          </w:p>
        </w:tc>
        <w:tc>
          <w:tcPr>
            <w:tcW w:w="4752" w:type="dxa"/>
            <w:tcBorders>
              <w:top w:val="double" w:sz="4" w:space="0" w:color="auto"/>
              <w:left w:val="double" w:sz="4" w:space="0" w:color="auto"/>
              <w:bottom w:val="double" w:sz="4" w:space="0" w:color="auto"/>
              <w:right w:val="double" w:sz="4" w:space="0" w:color="auto"/>
            </w:tcBorders>
            <w:vAlign w:val="bottom"/>
          </w:tcPr>
          <w:p w14:paraId="7D9F544E" w14:textId="77777777" w:rsidR="0040473C" w:rsidRPr="00E550C5" w:rsidRDefault="0040473C" w:rsidP="00CD1E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48"/>
              <w:jc w:val="center"/>
              <w:rPr>
                <w:caps/>
                <w:sz w:val="22"/>
              </w:rPr>
            </w:pPr>
            <w:r w:rsidRPr="00E550C5">
              <w:rPr>
                <w:caps/>
                <w:sz w:val="22"/>
              </w:rPr>
              <w:t>ITEMS TO CAPITALIZE</w:t>
            </w:r>
          </w:p>
        </w:tc>
      </w:tr>
      <w:tr w:rsidR="0040473C" w:rsidRPr="00E550C5" w14:paraId="5155B375" w14:textId="77777777" w:rsidTr="00CD1EDD">
        <w:trPr>
          <w:cantSplit/>
        </w:trPr>
        <w:tc>
          <w:tcPr>
            <w:tcW w:w="5688" w:type="dxa"/>
            <w:tcBorders>
              <w:top w:val="double" w:sz="4" w:space="0" w:color="auto"/>
            </w:tcBorders>
            <w:vAlign w:val="center"/>
          </w:tcPr>
          <w:p w14:paraId="09BE61AF" w14:textId="77777777" w:rsidR="0040473C" w:rsidRPr="00E550C5" w:rsidRDefault="0040473C" w:rsidP="0076079F">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Land (including rights-of-way)</w:t>
            </w:r>
          </w:p>
        </w:tc>
        <w:tc>
          <w:tcPr>
            <w:tcW w:w="4752" w:type="dxa"/>
            <w:tcBorders>
              <w:top w:val="double" w:sz="4" w:space="0" w:color="auto"/>
            </w:tcBorders>
            <w:vAlign w:val="center"/>
          </w:tcPr>
          <w:p w14:paraId="67B6227B" w14:textId="77777777" w:rsidR="0040473C" w:rsidRPr="00E550C5" w:rsidRDefault="0040473C" w:rsidP="0076079F">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All, regardless of cost</w:t>
            </w:r>
          </w:p>
        </w:tc>
      </w:tr>
      <w:tr w:rsidR="0040473C" w:rsidRPr="00E550C5" w14:paraId="79A2E60A" w14:textId="77777777" w:rsidTr="00CD1EDD">
        <w:trPr>
          <w:cantSplit/>
        </w:trPr>
        <w:tc>
          <w:tcPr>
            <w:tcW w:w="5688" w:type="dxa"/>
            <w:vAlign w:val="center"/>
          </w:tcPr>
          <w:p w14:paraId="5FD2631F" w14:textId="77777777" w:rsidR="0040473C" w:rsidRPr="00E550C5" w:rsidRDefault="0040473C" w:rsidP="0076079F">
            <w:pPr>
              <w:pStyle w:val="Head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Non-Depreciable Land Improvements</w:t>
            </w:r>
          </w:p>
        </w:tc>
        <w:tc>
          <w:tcPr>
            <w:tcW w:w="4752" w:type="dxa"/>
            <w:vAlign w:val="center"/>
          </w:tcPr>
          <w:p w14:paraId="25319160"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All, regardless of cost</w:t>
            </w:r>
          </w:p>
        </w:tc>
      </w:tr>
      <w:tr w:rsidR="0040473C" w:rsidRPr="00E550C5" w14:paraId="112F4A30" w14:textId="77777777" w:rsidTr="00CD1EDD">
        <w:trPr>
          <w:cantSplit/>
        </w:trPr>
        <w:tc>
          <w:tcPr>
            <w:tcW w:w="5688" w:type="dxa"/>
            <w:vAlign w:val="center"/>
          </w:tcPr>
          <w:p w14:paraId="7960097C"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bookmarkStart w:id="399" w:name="_Hlk195000104"/>
            <w:r w:rsidRPr="00E550C5">
              <w:rPr>
                <w:sz w:val="22"/>
              </w:rPr>
              <w:t>Depreciable Land Improvements</w:t>
            </w:r>
            <w:bookmarkEnd w:id="399"/>
          </w:p>
        </w:tc>
        <w:tc>
          <w:tcPr>
            <w:tcW w:w="4752" w:type="dxa"/>
            <w:vAlign w:val="center"/>
          </w:tcPr>
          <w:p w14:paraId="7458E3FD"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$100,000</w:t>
            </w:r>
          </w:p>
        </w:tc>
      </w:tr>
      <w:tr w:rsidR="0040473C" w:rsidRPr="00E550C5" w14:paraId="13EE5504" w14:textId="77777777" w:rsidTr="00CD1EDD">
        <w:trPr>
          <w:cantSplit/>
        </w:trPr>
        <w:tc>
          <w:tcPr>
            <w:tcW w:w="5688" w:type="dxa"/>
            <w:vAlign w:val="center"/>
          </w:tcPr>
          <w:p w14:paraId="5E3DCEDB"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Buildings and Building Improvements</w:t>
            </w:r>
          </w:p>
        </w:tc>
        <w:tc>
          <w:tcPr>
            <w:tcW w:w="4752" w:type="dxa"/>
            <w:vAlign w:val="center"/>
          </w:tcPr>
          <w:p w14:paraId="043582FA"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$100,000</w:t>
            </w:r>
          </w:p>
        </w:tc>
      </w:tr>
      <w:tr w:rsidR="0040473C" w:rsidRPr="00E550C5" w14:paraId="1204A7B9" w14:textId="77777777" w:rsidTr="00CD1EDD">
        <w:trPr>
          <w:cantSplit/>
        </w:trPr>
        <w:tc>
          <w:tcPr>
            <w:tcW w:w="5688" w:type="dxa"/>
            <w:vAlign w:val="center"/>
          </w:tcPr>
          <w:p w14:paraId="394023AA"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Vehicles</w:t>
            </w:r>
          </w:p>
        </w:tc>
        <w:tc>
          <w:tcPr>
            <w:tcW w:w="4752" w:type="dxa"/>
            <w:vAlign w:val="center"/>
          </w:tcPr>
          <w:p w14:paraId="6CA506D9"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$5,000</w:t>
            </w:r>
          </w:p>
        </w:tc>
      </w:tr>
      <w:tr w:rsidR="0040473C" w:rsidRPr="00E550C5" w14:paraId="668B7428" w14:textId="77777777" w:rsidTr="00CD1EDD">
        <w:trPr>
          <w:cantSplit/>
        </w:trPr>
        <w:tc>
          <w:tcPr>
            <w:tcW w:w="5688" w:type="dxa"/>
            <w:vAlign w:val="center"/>
          </w:tcPr>
          <w:p w14:paraId="57A32578"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Machinery and Equipment</w:t>
            </w:r>
          </w:p>
        </w:tc>
        <w:tc>
          <w:tcPr>
            <w:tcW w:w="4752" w:type="dxa"/>
            <w:vAlign w:val="center"/>
          </w:tcPr>
          <w:p w14:paraId="28E14E74"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$5,000</w:t>
            </w:r>
          </w:p>
        </w:tc>
      </w:tr>
      <w:tr w:rsidR="0040473C" w:rsidRPr="00E550C5" w14:paraId="562F7CCD" w14:textId="77777777" w:rsidTr="00CD1EDD">
        <w:trPr>
          <w:cantSplit/>
        </w:trPr>
        <w:tc>
          <w:tcPr>
            <w:tcW w:w="5688" w:type="dxa"/>
            <w:vAlign w:val="center"/>
          </w:tcPr>
          <w:p w14:paraId="0EF40F55"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Breeding Livestock</w:t>
            </w:r>
          </w:p>
        </w:tc>
        <w:tc>
          <w:tcPr>
            <w:tcW w:w="4752" w:type="dxa"/>
            <w:vAlign w:val="center"/>
          </w:tcPr>
          <w:p w14:paraId="43FCD977"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$5,000</w:t>
            </w:r>
          </w:p>
        </w:tc>
      </w:tr>
      <w:tr w:rsidR="0040473C" w:rsidRPr="00E550C5" w14:paraId="17347C49" w14:textId="77777777" w:rsidTr="00CD1EDD">
        <w:trPr>
          <w:cantSplit/>
        </w:trPr>
        <w:tc>
          <w:tcPr>
            <w:tcW w:w="5688" w:type="dxa"/>
            <w:vAlign w:val="center"/>
          </w:tcPr>
          <w:p w14:paraId="76D3A4C1"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Works of Art and Historical Treasures*</w:t>
            </w:r>
          </w:p>
        </w:tc>
        <w:tc>
          <w:tcPr>
            <w:tcW w:w="4752" w:type="dxa"/>
            <w:vAlign w:val="center"/>
          </w:tcPr>
          <w:p w14:paraId="3064699D"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$5,000</w:t>
            </w:r>
          </w:p>
        </w:tc>
      </w:tr>
      <w:tr w:rsidR="0040473C" w:rsidRPr="00E550C5" w14:paraId="0442BF06" w14:textId="77777777" w:rsidTr="00CD1EDD">
        <w:trPr>
          <w:cantSplit/>
        </w:trPr>
        <w:tc>
          <w:tcPr>
            <w:tcW w:w="5688" w:type="dxa"/>
            <w:vAlign w:val="center"/>
          </w:tcPr>
          <w:p w14:paraId="5390C49A"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Intangible Assets (except easements)</w:t>
            </w:r>
          </w:p>
        </w:tc>
        <w:tc>
          <w:tcPr>
            <w:tcW w:w="4752" w:type="dxa"/>
            <w:vAlign w:val="center"/>
          </w:tcPr>
          <w:p w14:paraId="73D317BE"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Any costing more than $100,000</w:t>
            </w:r>
          </w:p>
        </w:tc>
      </w:tr>
      <w:tr w:rsidR="0040473C" w:rsidRPr="00E550C5" w14:paraId="1FBA075A" w14:textId="77777777" w:rsidTr="00CD1EDD">
        <w:trPr>
          <w:cantSplit/>
        </w:trPr>
        <w:tc>
          <w:tcPr>
            <w:tcW w:w="5688" w:type="dxa"/>
            <w:vAlign w:val="center"/>
          </w:tcPr>
          <w:p w14:paraId="0FA70B58"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Easements</w:t>
            </w:r>
          </w:p>
        </w:tc>
        <w:tc>
          <w:tcPr>
            <w:tcW w:w="4752" w:type="dxa"/>
            <w:vAlign w:val="center"/>
          </w:tcPr>
          <w:p w14:paraId="166AF15C" w14:textId="77777777" w:rsidR="0040473C" w:rsidRPr="00E550C5" w:rsidRDefault="0040473C" w:rsidP="0076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 w:right="288"/>
              <w:rPr>
                <w:sz w:val="22"/>
              </w:rPr>
            </w:pPr>
            <w:r w:rsidRPr="00E550C5">
              <w:rPr>
                <w:sz w:val="22"/>
              </w:rPr>
              <w:t>All, regardless of cost</w:t>
            </w:r>
          </w:p>
        </w:tc>
      </w:tr>
    </w:tbl>
    <w:p w14:paraId="3EB8D2A0" w14:textId="77777777" w:rsidR="0040473C" w:rsidRPr="00E550C5" w:rsidRDefault="0040473C" w:rsidP="0040473C">
      <w:pPr>
        <w:ind w:left="450" w:right="748" w:hanging="144"/>
        <w:rPr>
          <w:sz w:val="16"/>
          <w:szCs w:val="16"/>
        </w:rPr>
      </w:pPr>
      <w:r w:rsidRPr="00E550C5">
        <w:rPr>
          <w:sz w:val="16"/>
          <w:szCs w:val="16"/>
        </w:rPr>
        <w:t>*</w:t>
      </w:r>
      <w:r w:rsidRPr="00E550C5">
        <w:rPr>
          <w:sz w:val="16"/>
          <w:szCs w:val="16"/>
        </w:rPr>
        <w:tab/>
        <w:t xml:space="preserve">GAAP requirements regarding capitalization and depreciation of </w:t>
      </w:r>
      <w:r w:rsidRPr="00E550C5">
        <w:rPr>
          <w:i/>
          <w:iCs/>
          <w:sz w:val="16"/>
          <w:szCs w:val="16"/>
          <w:u w:val="single"/>
        </w:rPr>
        <w:t>individual</w:t>
      </w:r>
      <w:r w:rsidRPr="00E550C5">
        <w:rPr>
          <w:sz w:val="16"/>
          <w:szCs w:val="16"/>
        </w:rPr>
        <w:t xml:space="preserve"> works of art and historical treasures differ from the requirements for </w:t>
      </w:r>
      <w:r w:rsidRPr="00E550C5">
        <w:rPr>
          <w:i/>
          <w:iCs/>
          <w:sz w:val="16"/>
          <w:szCs w:val="16"/>
          <w:u w:val="single"/>
        </w:rPr>
        <w:t>collections</w:t>
      </w:r>
      <w:r w:rsidRPr="00E550C5">
        <w:rPr>
          <w:sz w:val="16"/>
          <w:szCs w:val="16"/>
        </w:rPr>
        <w:t xml:space="preserve"> of such items.  See the definition of Works of Art and Historical Treasures </w:t>
      </w:r>
      <w:r>
        <w:rPr>
          <w:sz w:val="16"/>
          <w:szCs w:val="16"/>
        </w:rPr>
        <w:t xml:space="preserve">in Key Terms </w:t>
      </w:r>
      <w:r w:rsidRPr="00E550C5">
        <w:rPr>
          <w:sz w:val="16"/>
          <w:szCs w:val="16"/>
        </w:rPr>
        <w:t>for explanation of requirements.</w:t>
      </w:r>
    </w:p>
    <w:p w14:paraId="0A3BD85D" w14:textId="468D4432" w:rsidR="00944B78" w:rsidRDefault="0040473C" w:rsidP="00944B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48"/>
        <w:rPr>
          <w:sz w:val="22"/>
        </w:rPr>
      </w:pPr>
      <w:r w:rsidRPr="00944B78">
        <w:rPr>
          <w:sz w:val="22"/>
        </w:rPr>
        <w:t>The State’s policy</w:t>
      </w:r>
      <w:r w:rsidR="00944B78" w:rsidRPr="00944B78">
        <w:rPr>
          <w:sz w:val="22"/>
        </w:rPr>
        <w:t xml:space="preserve">, </w:t>
      </w:r>
      <w:r w:rsidR="00944B78" w:rsidRPr="00944B78">
        <w:rPr>
          <w:i/>
          <w:iCs/>
          <w:sz w:val="22"/>
        </w:rPr>
        <w:t>generally</w:t>
      </w:r>
      <w:r w:rsidR="00944B78" w:rsidRPr="00944B78">
        <w:rPr>
          <w:sz w:val="22"/>
        </w:rPr>
        <w:t>,</w:t>
      </w:r>
      <w:r w:rsidRPr="00944B78">
        <w:rPr>
          <w:sz w:val="22"/>
        </w:rPr>
        <w:t xml:space="preserve"> is to apply the above capitalization thresholds to </w:t>
      </w:r>
      <w:r w:rsidRPr="00944B78">
        <w:rPr>
          <w:b/>
          <w:i/>
          <w:iCs/>
          <w:sz w:val="22"/>
        </w:rPr>
        <w:t>individual items</w:t>
      </w:r>
      <w:r w:rsidRPr="00944B78">
        <w:rPr>
          <w:sz w:val="22"/>
        </w:rPr>
        <w:t xml:space="preserve"> rather than to groups.</w:t>
      </w:r>
      <w:r w:rsidR="00944B78" w:rsidRPr="00944B78">
        <w:rPr>
          <w:sz w:val="22"/>
        </w:rPr>
        <w:t xml:space="preserve"> </w:t>
      </w:r>
      <w:r w:rsidRPr="00944B78">
        <w:rPr>
          <w:sz w:val="22"/>
        </w:rPr>
        <w:t xml:space="preserve">This means that if you purchase several items of the same type at one time (for example, </w:t>
      </w:r>
      <w:r w:rsidRPr="00944B78">
        <w:rPr>
          <w:sz w:val="22"/>
        </w:rPr>
        <w:br/>
        <w:t>5 computer workstations</w:t>
      </w:r>
      <w:r w:rsidR="00944B78" w:rsidRPr="00944B78">
        <w:rPr>
          <w:sz w:val="22"/>
        </w:rPr>
        <w:t xml:space="preserve"> </w:t>
      </w:r>
      <w:r w:rsidRPr="00944B78">
        <w:rPr>
          <w:sz w:val="22"/>
        </w:rPr>
        <w:t xml:space="preserve">or 15 </w:t>
      </w:r>
      <w:r w:rsidR="00944B78" w:rsidRPr="00944B78">
        <w:rPr>
          <w:sz w:val="22"/>
        </w:rPr>
        <w:t>desks</w:t>
      </w:r>
      <w:r w:rsidR="00DD6355">
        <w:rPr>
          <w:sz w:val="22"/>
        </w:rPr>
        <w:t>),</w:t>
      </w:r>
      <w:r w:rsidR="00944B78" w:rsidRPr="00944B78">
        <w:rPr>
          <w:sz w:val="22"/>
        </w:rPr>
        <w:t xml:space="preserve"> </w:t>
      </w:r>
      <w:r w:rsidRPr="00944B78">
        <w:rPr>
          <w:sz w:val="22"/>
        </w:rPr>
        <w:t>you must examine the cost of each individual item to determine if it should be capitalized.</w:t>
      </w:r>
      <w:r w:rsidR="00944B78">
        <w:rPr>
          <w:sz w:val="22"/>
        </w:rPr>
        <w:t xml:space="preserve"> </w:t>
      </w:r>
      <w:r w:rsidR="00C67B86">
        <w:rPr>
          <w:sz w:val="22"/>
        </w:rPr>
        <w:t xml:space="preserve">As of </w:t>
      </w:r>
      <w:r w:rsidR="00944B78" w:rsidRPr="00944B78">
        <w:rPr>
          <w:b/>
          <w:bCs/>
          <w:sz w:val="22"/>
        </w:rPr>
        <w:t>July 1, 202</w:t>
      </w:r>
      <w:r w:rsidR="00C64B49">
        <w:rPr>
          <w:b/>
          <w:bCs/>
          <w:sz w:val="22"/>
        </w:rPr>
        <w:t>3</w:t>
      </w:r>
      <w:r w:rsidR="00944B78">
        <w:rPr>
          <w:sz w:val="22"/>
        </w:rPr>
        <w:t xml:space="preserve">, </w:t>
      </w:r>
      <w:r w:rsidR="00C67B86">
        <w:rPr>
          <w:sz w:val="22"/>
        </w:rPr>
        <w:t xml:space="preserve">there is an exception to this policy, which is described below. </w:t>
      </w:r>
    </w:p>
    <w:p w14:paraId="0B3A9789" w14:textId="28177156" w:rsidR="00944B78" w:rsidRPr="00E550C5" w:rsidRDefault="00944B78" w:rsidP="00C67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48"/>
        <w:rPr>
          <w:sz w:val="22"/>
        </w:rPr>
      </w:pPr>
      <w:r>
        <w:rPr>
          <w:sz w:val="22"/>
        </w:rPr>
        <w:t xml:space="preserve">If an agency purchases a group of </w:t>
      </w:r>
      <w:r w:rsidR="00CD42E0">
        <w:rPr>
          <w:sz w:val="22"/>
        </w:rPr>
        <w:t xml:space="preserve">similar </w:t>
      </w:r>
      <w:r>
        <w:rPr>
          <w:sz w:val="22"/>
        </w:rPr>
        <w:t xml:space="preserve">assets that, individually are below the applicable capitalization threshold listed above, but, in the aggregate, exceed $1,000,000, </w:t>
      </w:r>
      <w:r w:rsidRPr="00C67B86">
        <w:rPr>
          <w:b/>
          <w:bCs/>
          <w:sz w:val="22"/>
          <w:u w:val="single"/>
        </w:rPr>
        <w:t>please contact the Comptroller General’s Office</w:t>
      </w:r>
      <w:r>
        <w:rPr>
          <w:sz w:val="22"/>
        </w:rPr>
        <w:t>.</w:t>
      </w:r>
      <w:r w:rsidR="00C67B86">
        <w:rPr>
          <w:sz w:val="22"/>
        </w:rPr>
        <w:t xml:space="preserve"> </w:t>
      </w:r>
      <w:r w:rsidR="00DD6355">
        <w:rPr>
          <w:sz w:val="22"/>
        </w:rPr>
        <w:t xml:space="preserve">This revision to State policy was made </w:t>
      </w:r>
      <w:r w:rsidR="00C67B86">
        <w:rPr>
          <w:sz w:val="22"/>
        </w:rPr>
        <w:t>to comply with GASB Implementation Guide No. 2021-1, Question 5.1</w:t>
      </w:r>
      <w:r w:rsidR="00DD6355">
        <w:rPr>
          <w:sz w:val="22"/>
        </w:rPr>
        <w:t xml:space="preserve">. </w:t>
      </w:r>
    </w:p>
    <w:p w14:paraId="1A9F7390" w14:textId="77777777" w:rsidR="00DD6355" w:rsidRDefault="00DD6355" w:rsidP="004047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ind w:left="187" w:right="749"/>
        <w:contextualSpacing/>
        <w:rPr>
          <w:b/>
          <w:sz w:val="22"/>
        </w:rPr>
      </w:pPr>
    </w:p>
    <w:p w14:paraId="4CFA7633" w14:textId="01AB105D" w:rsidR="0040473C" w:rsidRPr="008A30C8" w:rsidRDefault="0040473C" w:rsidP="004047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ind w:left="187" w:right="749"/>
        <w:contextualSpacing/>
        <w:rPr>
          <w:b/>
          <w:sz w:val="22"/>
        </w:rPr>
      </w:pPr>
      <w:r w:rsidRPr="008A30C8">
        <w:rPr>
          <w:b/>
          <w:sz w:val="22"/>
        </w:rPr>
        <w:t>Minimum Useful Life:</w:t>
      </w:r>
    </w:p>
    <w:p w14:paraId="3F9552ED" w14:textId="5647E96E" w:rsidR="0040473C" w:rsidRPr="00AD6D09" w:rsidRDefault="0040473C" w:rsidP="00404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748"/>
        <w:contextualSpacing/>
        <w:rPr>
          <w:color w:val="FF0000"/>
          <w:sz w:val="22"/>
        </w:rPr>
      </w:pPr>
      <w:r w:rsidRPr="008A30C8">
        <w:rPr>
          <w:sz w:val="22"/>
        </w:rPr>
        <w:t xml:space="preserve">Assets with useful lives of </w:t>
      </w:r>
      <w:r w:rsidR="000E3647">
        <w:rPr>
          <w:sz w:val="22"/>
        </w:rPr>
        <w:t>at least two years</w:t>
      </w:r>
      <w:r w:rsidR="002645D9">
        <w:rPr>
          <w:sz w:val="22"/>
        </w:rPr>
        <w:t xml:space="preserve"> </w:t>
      </w:r>
      <w:r w:rsidRPr="008A30C8">
        <w:rPr>
          <w:sz w:val="22"/>
        </w:rPr>
        <w:t xml:space="preserve">are </w:t>
      </w:r>
      <w:r w:rsidRPr="008A30C8">
        <w:rPr>
          <w:b/>
          <w:i/>
          <w:sz w:val="22"/>
          <w:u w:val="single"/>
        </w:rPr>
        <w:t>required</w:t>
      </w:r>
      <w:r w:rsidRPr="008A30C8">
        <w:rPr>
          <w:sz w:val="22"/>
        </w:rPr>
        <w:t xml:space="preserve"> to be capitalized.</w:t>
      </w:r>
      <w:r w:rsidRPr="00E550C5">
        <w:rPr>
          <w:sz w:val="22"/>
        </w:rPr>
        <w:t xml:space="preserve"> </w:t>
      </w:r>
    </w:p>
    <w:p w14:paraId="5E9B241D" w14:textId="77777777" w:rsidR="002D7D97" w:rsidRDefault="002D7D97">
      <w:pPr>
        <w:spacing w:before="0" w:after="0"/>
        <w:jc w:val="left"/>
        <w:rPr>
          <w:b/>
          <w:sz w:val="22"/>
        </w:rPr>
      </w:pPr>
      <w:r>
        <w:rPr>
          <w:b/>
          <w:sz w:val="22"/>
        </w:rPr>
        <w:br w:type="page"/>
      </w:r>
    </w:p>
    <w:p w14:paraId="00C55A76" w14:textId="77777777" w:rsidR="00761D34" w:rsidRPr="00CF722D" w:rsidRDefault="00761D34" w:rsidP="00761D34">
      <w:pPr>
        <w:ind w:left="540" w:right="568"/>
        <w:jc w:val="right"/>
        <w:rPr>
          <w:color w:val="000000"/>
          <w:sz w:val="22"/>
          <w:szCs w:val="22"/>
        </w:rPr>
      </w:pPr>
      <w:r w:rsidRPr="00CF722D">
        <w:rPr>
          <w:color w:val="000000"/>
          <w:sz w:val="22"/>
          <w:szCs w:val="22"/>
        </w:rPr>
        <w:lastRenderedPageBreak/>
        <w:t>Page 2 of 2</w:t>
      </w:r>
    </w:p>
    <w:p w14:paraId="2E2BFFE4" w14:textId="77777777" w:rsidR="00761D34" w:rsidRPr="00461CBF" w:rsidRDefault="00761D34" w:rsidP="004C7600">
      <w:pPr>
        <w:ind w:left="180" w:right="568"/>
        <w:rPr>
          <w:color w:val="000000"/>
          <w:szCs w:val="24"/>
        </w:rPr>
      </w:pPr>
      <w:r w:rsidRPr="00461CBF">
        <w:rPr>
          <w:color w:val="000000"/>
          <w:szCs w:val="24"/>
        </w:rPr>
        <w:t>DETERMINING CAPITALIZATION vs. LOW VALUE ASSET</w:t>
      </w:r>
    </w:p>
    <w:p w14:paraId="690488F2" w14:textId="62D01F6C" w:rsidR="00761D34" w:rsidRDefault="00761D34" w:rsidP="004C7600">
      <w:pPr>
        <w:ind w:left="180" w:right="324"/>
        <w:rPr>
          <w:color w:val="000000"/>
          <w:szCs w:val="24"/>
        </w:rPr>
      </w:pPr>
      <w:r w:rsidRPr="00461CBF">
        <w:rPr>
          <w:color w:val="000000"/>
          <w:szCs w:val="24"/>
        </w:rPr>
        <w:t>Low value assets</w:t>
      </w:r>
      <w:r w:rsidR="00230157">
        <w:rPr>
          <w:color w:val="000000"/>
          <w:szCs w:val="24"/>
        </w:rPr>
        <w:t xml:space="preserve"> (LVAs)</w:t>
      </w:r>
      <w:r w:rsidRPr="00461CBF">
        <w:rPr>
          <w:color w:val="000000"/>
          <w:szCs w:val="24"/>
        </w:rPr>
        <w:t xml:space="preserve"> have been defined as all assets purchased </w:t>
      </w:r>
      <w:r w:rsidR="004C7600">
        <w:rPr>
          <w:color w:val="000000"/>
          <w:szCs w:val="24"/>
        </w:rPr>
        <w:t xml:space="preserve">with a value </w:t>
      </w:r>
      <w:proofErr w:type="gramStart"/>
      <w:r w:rsidR="004C7600">
        <w:rPr>
          <w:color w:val="000000"/>
          <w:szCs w:val="24"/>
        </w:rPr>
        <w:t>in excess of</w:t>
      </w:r>
      <w:proofErr w:type="gramEnd"/>
      <w:r w:rsidR="004C7600">
        <w:rPr>
          <w:color w:val="000000"/>
          <w:szCs w:val="24"/>
        </w:rPr>
        <w:t xml:space="preserve"> $</w:t>
      </w:r>
      <w:r w:rsidR="00D635DD">
        <w:rPr>
          <w:color w:val="000000"/>
          <w:szCs w:val="24"/>
        </w:rPr>
        <w:t>2</w:t>
      </w:r>
      <w:r w:rsidR="004C7600">
        <w:rPr>
          <w:color w:val="000000"/>
          <w:szCs w:val="24"/>
        </w:rPr>
        <w:t>,</w:t>
      </w:r>
      <w:r w:rsidR="00D635DD">
        <w:rPr>
          <w:color w:val="000000"/>
          <w:szCs w:val="24"/>
        </w:rPr>
        <w:t>5</w:t>
      </w:r>
      <w:r w:rsidR="004C7600">
        <w:rPr>
          <w:color w:val="000000"/>
          <w:szCs w:val="24"/>
        </w:rPr>
        <w:t xml:space="preserve">00 </w:t>
      </w:r>
      <w:r w:rsidRPr="00461CBF">
        <w:rPr>
          <w:color w:val="000000"/>
          <w:szCs w:val="24"/>
        </w:rPr>
        <w:t>that have a useful life within the capitalization criteria (</w:t>
      </w:r>
      <w:r w:rsidR="000E3647">
        <w:rPr>
          <w:color w:val="000000"/>
          <w:szCs w:val="24"/>
        </w:rPr>
        <w:t xml:space="preserve">at least </w:t>
      </w:r>
      <w:r w:rsidRPr="00461CBF">
        <w:rPr>
          <w:color w:val="000000"/>
          <w:szCs w:val="24"/>
        </w:rPr>
        <w:t>2 years) but do not meet the capitalization dollar threshold criteria ($5,000 for moveable assets or $100,000 for all other assets).</w:t>
      </w:r>
      <w:r w:rsidR="00230157">
        <w:rPr>
          <w:color w:val="000000"/>
          <w:szCs w:val="24"/>
        </w:rPr>
        <w:t xml:space="preserve"> Unless specified otherwise below, </w:t>
      </w:r>
      <w:r>
        <w:rPr>
          <w:color w:val="000000"/>
          <w:szCs w:val="24"/>
        </w:rPr>
        <w:t xml:space="preserve">SCEIS functionality must be used to </w:t>
      </w:r>
      <w:r w:rsidR="00CE7B79">
        <w:rPr>
          <w:color w:val="000000"/>
          <w:szCs w:val="24"/>
        </w:rPr>
        <w:t xml:space="preserve">record and </w:t>
      </w:r>
      <w:r>
        <w:rPr>
          <w:color w:val="000000"/>
          <w:szCs w:val="24"/>
        </w:rPr>
        <w:t xml:space="preserve">track </w:t>
      </w:r>
      <w:r w:rsidR="00230157">
        <w:rPr>
          <w:color w:val="000000"/>
          <w:szCs w:val="24"/>
        </w:rPr>
        <w:t>LVAs. Intangible assets falling below the $100,000 threshold are not required to be recorded as LVAs in SCEIS.</w:t>
      </w:r>
    </w:p>
    <w:p w14:paraId="6E069D51" w14:textId="77777777" w:rsidR="00761D34" w:rsidRPr="00461CBF" w:rsidRDefault="00F0602A" w:rsidP="004C7600">
      <w:pPr>
        <w:ind w:left="180" w:right="324"/>
        <w:rPr>
          <w:color w:val="000000"/>
          <w:szCs w:val="24"/>
        </w:rPr>
      </w:pPr>
      <w:r>
        <w:rPr>
          <w:noProof/>
        </w:rPr>
        <mc:AlternateContent>
          <mc:Choice Requires="wps">
            <w:drawing>
              <wp:anchor distT="0" distB="0" distL="114300" distR="114300" simplePos="0" relativeHeight="251665408" behindDoc="0" locked="0" layoutInCell="1" allowOverlap="1" wp14:anchorId="12385581" wp14:editId="1634EB5D">
                <wp:simplePos x="0" y="0"/>
                <wp:positionH relativeFrom="column">
                  <wp:posOffset>57150</wp:posOffset>
                </wp:positionH>
                <wp:positionV relativeFrom="paragraph">
                  <wp:posOffset>180340</wp:posOffset>
                </wp:positionV>
                <wp:extent cx="2457450" cy="1066800"/>
                <wp:effectExtent l="19050" t="18415" r="19050" b="1016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066800"/>
                        </a:xfrm>
                        <a:prstGeom prst="diamond">
                          <a:avLst/>
                        </a:prstGeom>
                        <a:solidFill>
                          <a:srgbClr val="FFFFFF"/>
                        </a:solidFill>
                        <a:ln w="9525">
                          <a:solidFill>
                            <a:srgbClr val="000000"/>
                          </a:solidFill>
                          <a:miter lim="800000"/>
                          <a:headEnd/>
                          <a:tailEnd/>
                        </a:ln>
                      </wps:spPr>
                      <wps:txbx>
                        <w:txbxContent>
                          <w:p w14:paraId="6AC184AB" w14:textId="0E3B5AF8" w:rsidR="001D6B4B" w:rsidRPr="00FB6B53" w:rsidRDefault="001D6B4B" w:rsidP="00FB1B29">
                            <w:pPr>
                              <w:spacing w:before="0" w:after="0"/>
                              <w:jc w:val="center"/>
                              <w:rPr>
                                <w:sz w:val="20"/>
                              </w:rPr>
                            </w:pPr>
                            <w:r w:rsidRPr="00FB6B53">
                              <w:rPr>
                                <w:sz w:val="20"/>
                              </w:rPr>
                              <w:t>Does the value of the asset exceed $</w:t>
                            </w:r>
                            <w:r>
                              <w:rPr>
                                <w:sz w:val="20"/>
                              </w:rPr>
                              <w:t>2,5</w:t>
                            </w:r>
                            <w:r w:rsidRPr="00FB6B53">
                              <w:rPr>
                                <w:sz w:val="20"/>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85581" id="_x0000_t4" coordsize="21600,21600" o:spt="4" path="m10800,l,10800,10800,21600,21600,10800xe">
                <v:stroke joinstyle="miter"/>
                <v:path gradientshapeok="t" o:connecttype="rect" textboxrect="5400,5400,16200,16200"/>
              </v:shapetype>
              <v:shape id="AutoShape 13" o:spid="_x0000_s1026" type="#_x0000_t4" style="position:absolute;left:0;text-align:left;margin-left:4.5pt;margin-top:14.2pt;width:193.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">
                <v:textbox>
                  <w:txbxContent>
                    <w:p w14:paraId="6AC184AB" w14:textId="0E3B5AF8" w:rsidR="001D6B4B" w:rsidRPr="00FB6B53" w:rsidRDefault="001D6B4B" w:rsidP="00FB1B29">
                      <w:pPr>
                        <w:spacing w:before="0" w:after="0"/>
                        <w:jc w:val="center"/>
                        <w:rPr>
                          <w:sz w:val="20"/>
                        </w:rPr>
                      </w:pPr>
                      <w:r w:rsidRPr="00FB6B53">
                        <w:rPr>
                          <w:sz w:val="20"/>
                        </w:rPr>
                        <w:t>Does the value of the asset exceed $</w:t>
                      </w:r>
                      <w:r>
                        <w:rPr>
                          <w:sz w:val="20"/>
                        </w:rPr>
                        <w:t>2,5</w:t>
                      </w:r>
                      <w:r w:rsidRPr="00FB6B53">
                        <w:rPr>
                          <w:sz w:val="20"/>
                        </w:rPr>
                        <w:t>00?</w:t>
                      </w:r>
                    </w:p>
                  </w:txbxContent>
                </v:textbox>
              </v:shape>
            </w:pict>
          </mc:Fallback>
        </mc:AlternateContent>
      </w:r>
      <w:r w:rsidR="00761D34">
        <w:rPr>
          <w:color w:val="000000"/>
          <w:szCs w:val="24"/>
        </w:rPr>
        <w:t>The following decision tree should aid in identification and proper accounting and control treatment:</w:t>
      </w:r>
    </w:p>
    <w:p w14:paraId="0ECE1614" w14:textId="4C1C700D" w:rsidR="000F0B67" w:rsidRDefault="00F0602A" w:rsidP="00761D34">
      <w:pPr>
        <w:rPr>
          <w:sz w:val="22"/>
        </w:rPr>
      </w:pPr>
      <w:r>
        <w:rPr>
          <w:noProof/>
        </w:rPr>
        <mc:AlternateContent>
          <mc:Choice Requires="wps">
            <w:drawing>
              <wp:anchor distT="0" distB="0" distL="114300" distR="114300" simplePos="0" relativeHeight="251671552" behindDoc="0" locked="0" layoutInCell="1" allowOverlap="1" wp14:anchorId="07361CCA" wp14:editId="19DDDBCF">
                <wp:simplePos x="0" y="0"/>
                <wp:positionH relativeFrom="column">
                  <wp:posOffset>3781425</wp:posOffset>
                </wp:positionH>
                <wp:positionV relativeFrom="paragraph">
                  <wp:posOffset>230505</wp:posOffset>
                </wp:positionV>
                <wp:extent cx="2362200" cy="471170"/>
                <wp:effectExtent l="9525" t="11430" r="9525" b="1270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71170"/>
                        </a:xfrm>
                        <a:prstGeom prst="flowChartTerminator">
                          <a:avLst/>
                        </a:prstGeom>
                        <a:solidFill>
                          <a:srgbClr val="FFFFFF"/>
                        </a:solidFill>
                        <a:ln w="9525">
                          <a:solidFill>
                            <a:srgbClr val="000000"/>
                          </a:solidFill>
                          <a:miter lim="800000"/>
                          <a:headEnd/>
                          <a:tailEnd/>
                        </a:ln>
                      </wps:spPr>
                      <wps:txbx>
                        <w:txbxContent>
                          <w:p w14:paraId="5B975BC0" w14:textId="77777777" w:rsidR="001D6B4B" w:rsidRDefault="001D6B4B" w:rsidP="00761D34">
                            <w:r>
                              <w:t>STOP – 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61CCA" id="_x0000_t116" coordsize="21600,21600" o:spt="116" path="m3475,qx,10800,3475,21600l18125,21600qx21600,10800,18125,xe">
                <v:stroke joinstyle="miter"/>
                <v:path gradientshapeok="t" o:connecttype="rect" textboxrect="1018,3163,20582,18437"/>
              </v:shapetype>
              <v:shape id="AutoShape 19" o:spid="_x0000_s1027" type="#_x0000_t116" style="position:absolute;left:0;text-align:left;margin-left:297.75pt;margin-top:18.15pt;width:186pt;height:3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">
                <v:textbox>
                  <w:txbxContent>
                    <w:p w14:paraId="5B975BC0" w14:textId="77777777" w:rsidR="001D6B4B" w:rsidRDefault="001D6B4B" w:rsidP="00761D34">
                      <w:r>
                        <w:t>STOP – no further action.</w:t>
                      </w:r>
                    </w:p>
                  </w:txbxContent>
                </v:textbox>
              </v:shape>
            </w:pict>
          </mc:Fallback>
        </mc:AlternateContent>
      </w:r>
      <w:r>
        <w:rPr>
          <w:noProof/>
        </w:rPr>
        <mc:AlternateContent>
          <mc:Choice Requires="wps">
            <w:drawing>
              <wp:anchor distT="0" distB="0" distL="114300" distR="114300" simplePos="0" relativeHeight="251658238" behindDoc="0" locked="0" layoutInCell="1" allowOverlap="1" wp14:anchorId="5B4337C6" wp14:editId="3CBF86B0">
                <wp:simplePos x="0" y="0"/>
                <wp:positionH relativeFrom="column">
                  <wp:posOffset>2929890</wp:posOffset>
                </wp:positionH>
                <wp:positionV relativeFrom="paragraph">
                  <wp:posOffset>116205</wp:posOffset>
                </wp:positionV>
                <wp:extent cx="464185" cy="419100"/>
                <wp:effectExtent l="0" t="1905" r="0" b="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254AB" w14:textId="77777777" w:rsidR="001D6B4B" w:rsidRDefault="001D6B4B" w:rsidP="00761D34">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4337C6" id="_x0000_t202" coordsize="21600,21600" o:spt="202" path="m,l,21600r21600,l21600,xe">
                <v:stroke joinstyle="miter"/>
                <v:path gradientshapeok="t" o:connecttype="rect"/>
              </v:shapetype>
              <v:shape id="Text Box 35" o:spid="_x0000_s1028" type="#_x0000_t202" style="position:absolute;left:0;text-align:left;margin-left:230.7pt;margin-top:9.15pt;width:36.55pt;height:33pt;z-index:25165823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" stroked="f">
                <v:textbox style="mso-fit-shape-to-text:t">
                  <w:txbxContent>
                    <w:p w14:paraId="386254AB" w14:textId="77777777" w:rsidR="001D6B4B" w:rsidRDefault="001D6B4B" w:rsidP="00761D34">
                      <w:r>
                        <w:t>No</w:t>
                      </w:r>
                    </w:p>
                  </w:txbxContent>
                </v:textbox>
              </v:shape>
            </w:pict>
          </mc:Fallback>
        </mc:AlternateContent>
      </w:r>
    </w:p>
    <w:p w14:paraId="1331B53D" w14:textId="34E25D1F" w:rsidR="0040473C" w:rsidRPr="002012B6" w:rsidRDefault="005A4933" w:rsidP="002012B6">
      <w:pPr>
        <w:spacing w:before="0" w:after="0"/>
        <w:jc w:val="center"/>
      </w:pPr>
      <w:r>
        <w:rPr>
          <w:noProof/>
        </w:rPr>
        <mc:AlternateContent>
          <mc:Choice Requires="wps">
            <w:drawing>
              <wp:anchor distT="0" distB="0" distL="114300" distR="114300" simplePos="0" relativeHeight="251697152" behindDoc="0" locked="0" layoutInCell="1" allowOverlap="1" wp14:anchorId="670B993C" wp14:editId="65C6A1C3">
                <wp:simplePos x="0" y="0"/>
                <wp:positionH relativeFrom="column">
                  <wp:posOffset>5166360</wp:posOffset>
                </wp:positionH>
                <wp:positionV relativeFrom="paragraph">
                  <wp:posOffset>1614170</wp:posOffset>
                </wp:positionV>
                <wp:extent cx="1724025" cy="1478280"/>
                <wp:effectExtent l="0" t="0" r="28575" b="26670"/>
                <wp:wrapNone/>
                <wp:docPr id="8553901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478280"/>
                        </a:xfrm>
                        <a:prstGeom prst="flowChartProcess">
                          <a:avLst/>
                        </a:prstGeom>
                        <a:solidFill>
                          <a:srgbClr val="FFFFFF"/>
                        </a:solidFill>
                        <a:ln w="9525">
                          <a:solidFill>
                            <a:srgbClr val="000000"/>
                          </a:solidFill>
                          <a:miter lim="800000"/>
                          <a:headEnd/>
                          <a:tailEnd/>
                        </a:ln>
                      </wps:spPr>
                      <wps:txbx>
                        <w:txbxContent>
                          <w:p w14:paraId="16E391C0" w14:textId="765BBD7A" w:rsidR="002012B6" w:rsidRPr="00D57E22" w:rsidRDefault="002012B6" w:rsidP="002012B6">
                            <w:pPr>
                              <w:spacing w:before="0" w:after="0"/>
                              <w:jc w:val="center"/>
                              <w:rPr>
                                <w:sz w:val="22"/>
                                <w:szCs w:val="22"/>
                              </w:rPr>
                            </w:pPr>
                            <w:r w:rsidRPr="00D57E22">
                              <w:rPr>
                                <w:b/>
                                <w:iCs/>
                                <w:sz w:val="22"/>
                                <w:szCs w:val="22"/>
                              </w:rPr>
                              <w:t>BUILDINGS:</w:t>
                            </w:r>
                            <w:r w:rsidRPr="00D57E22">
                              <w:rPr>
                                <w:b/>
                                <w:i/>
                                <w:sz w:val="22"/>
                                <w:szCs w:val="22"/>
                              </w:rPr>
                              <w:t xml:space="preserve"> Low Value Asset</w:t>
                            </w:r>
                            <w:r w:rsidRPr="00D57E22">
                              <w:rPr>
                                <w:sz w:val="22"/>
                                <w:szCs w:val="22"/>
                              </w:rPr>
                              <w:t xml:space="preserve"> –</w:t>
                            </w:r>
                          </w:p>
                          <w:p w14:paraId="4B6BCA04" w14:textId="321F5063" w:rsidR="002012B6" w:rsidRPr="00D57E22" w:rsidRDefault="002012B6" w:rsidP="002012B6">
                            <w:pPr>
                              <w:spacing w:before="0" w:after="0"/>
                              <w:jc w:val="center"/>
                              <w:rPr>
                                <w:sz w:val="22"/>
                                <w:szCs w:val="22"/>
                              </w:rPr>
                            </w:pPr>
                            <w:r w:rsidRPr="00D57E22">
                              <w:rPr>
                                <w:sz w:val="22"/>
                                <w:szCs w:val="22"/>
                              </w:rPr>
                              <w:t xml:space="preserve">Record </w:t>
                            </w:r>
                            <w:r w:rsidR="005A4933">
                              <w:rPr>
                                <w:sz w:val="22"/>
                                <w:szCs w:val="22"/>
                              </w:rPr>
                              <w:t xml:space="preserve">and track </w:t>
                            </w:r>
                            <w:r w:rsidRPr="00D57E22">
                              <w:rPr>
                                <w:sz w:val="22"/>
                                <w:szCs w:val="22"/>
                              </w:rPr>
                              <w:t>the asset in SCEIS.</w:t>
                            </w:r>
                          </w:p>
                          <w:p w14:paraId="539BFDA1" w14:textId="29C79258" w:rsidR="002012B6" w:rsidRPr="00D57E22" w:rsidRDefault="002012B6" w:rsidP="002012B6">
                            <w:pPr>
                              <w:jc w:val="center"/>
                              <w:rPr>
                                <w:sz w:val="22"/>
                                <w:szCs w:val="22"/>
                              </w:rPr>
                            </w:pPr>
                            <w:r w:rsidRPr="00D57E22">
                              <w:rPr>
                                <w:b/>
                                <w:iCs/>
                                <w:sz w:val="22"/>
                                <w:szCs w:val="22"/>
                              </w:rPr>
                              <w:t>BUILDING</w:t>
                            </w:r>
                            <w:r w:rsidR="005A4933">
                              <w:rPr>
                                <w:b/>
                                <w:iCs/>
                                <w:sz w:val="22"/>
                                <w:szCs w:val="22"/>
                              </w:rPr>
                              <w:t xml:space="preserve"> AND DEPRECIABLE LAND</w:t>
                            </w:r>
                            <w:r w:rsidRPr="00D57E22">
                              <w:rPr>
                                <w:b/>
                                <w:iCs/>
                                <w:sz w:val="22"/>
                                <w:szCs w:val="22"/>
                              </w:rPr>
                              <w:t xml:space="preserve"> IMPROVEMENTS:</w:t>
                            </w:r>
                            <w:r w:rsidRPr="00D57E22">
                              <w:rPr>
                                <w:b/>
                                <w:i/>
                                <w:sz w:val="22"/>
                                <w:szCs w:val="22"/>
                              </w:rPr>
                              <w:t xml:space="preserve"> </w:t>
                            </w:r>
                            <w:r w:rsidRPr="00D57E22">
                              <w:rPr>
                                <w:sz w:val="22"/>
                                <w:szCs w:val="22"/>
                              </w:rPr>
                              <w:t>STOP – no further action.</w:t>
                            </w:r>
                          </w:p>
                          <w:p w14:paraId="2F95DA58" w14:textId="225DE55A" w:rsidR="002012B6" w:rsidRPr="002012B6" w:rsidRDefault="002012B6" w:rsidP="002012B6">
                            <w:pPr>
                              <w:spacing w:before="0" w:after="0"/>
                              <w:jc w:val="center"/>
                              <w:rPr>
                                <w:bCs/>
                                <w:iCs/>
                              </w:rPr>
                            </w:pPr>
                          </w:p>
                          <w:p w14:paraId="1CE96A7A" w14:textId="77777777" w:rsidR="002012B6" w:rsidRDefault="002012B6" w:rsidP="002012B6">
                            <w:pPr>
                              <w:spacing w:before="0" w:after="0"/>
                              <w:jc w:val="center"/>
                            </w:pPr>
                          </w:p>
                          <w:p w14:paraId="0131E4BB" w14:textId="1A2338DD" w:rsidR="002012B6" w:rsidRDefault="002012B6" w:rsidP="002012B6">
                            <w:pPr>
                              <w:spacing w:before="0"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B993C" id="_x0000_t109" coordsize="21600,21600" o:spt="109" path="m,l,21600r21600,l21600,xe">
                <v:stroke joinstyle="miter"/>
                <v:path gradientshapeok="t" o:connecttype="rect"/>
              </v:shapetype>
              <v:shape id="AutoShape 22" o:spid="_x0000_s1029" type="#_x0000_t109" style="position:absolute;left:0;text-align:left;margin-left:406.8pt;margin-top:127.1pt;width:135.75pt;height:11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">
                <v:textbox>
                  <w:txbxContent>
                    <w:p w14:paraId="16E391C0" w14:textId="765BBD7A" w:rsidR="002012B6" w:rsidRPr="00D57E22" w:rsidRDefault="002012B6" w:rsidP="002012B6">
                      <w:pPr>
                        <w:spacing w:before="0" w:after="0"/>
                        <w:jc w:val="center"/>
                        <w:rPr>
                          <w:sz w:val="22"/>
                          <w:szCs w:val="22"/>
                        </w:rPr>
                      </w:pPr>
                      <w:r w:rsidRPr="00D57E22">
                        <w:rPr>
                          <w:b/>
                          <w:iCs/>
                          <w:sz w:val="22"/>
                          <w:szCs w:val="22"/>
                        </w:rPr>
                        <w:t>BUILDINGS:</w:t>
                      </w:r>
                      <w:r w:rsidRPr="00D57E22">
                        <w:rPr>
                          <w:b/>
                          <w:i/>
                          <w:sz w:val="22"/>
                          <w:szCs w:val="22"/>
                        </w:rPr>
                        <w:t xml:space="preserve"> Low Value Asset</w:t>
                      </w:r>
                      <w:r w:rsidRPr="00D57E22">
                        <w:rPr>
                          <w:sz w:val="22"/>
                          <w:szCs w:val="22"/>
                        </w:rPr>
                        <w:t xml:space="preserve"> –</w:t>
                      </w:r>
                    </w:p>
                    <w:p w14:paraId="4B6BCA04" w14:textId="321F5063" w:rsidR="002012B6" w:rsidRPr="00D57E22" w:rsidRDefault="002012B6" w:rsidP="002012B6">
                      <w:pPr>
                        <w:spacing w:before="0" w:after="0"/>
                        <w:jc w:val="center"/>
                        <w:rPr>
                          <w:sz w:val="22"/>
                          <w:szCs w:val="22"/>
                        </w:rPr>
                      </w:pPr>
                      <w:r w:rsidRPr="00D57E22">
                        <w:rPr>
                          <w:sz w:val="22"/>
                          <w:szCs w:val="22"/>
                        </w:rPr>
                        <w:t xml:space="preserve">Record </w:t>
                      </w:r>
                      <w:r w:rsidR="005A4933">
                        <w:rPr>
                          <w:sz w:val="22"/>
                          <w:szCs w:val="22"/>
                        </w:rPr>
                        <w:t xml:space="preserve">and track </w:t>
                      </w:r>
                      <w:r w:rsidRPr="00D57E22">
                        <w:rPr>
                          <w:sz w:val="22"/>
                          <w:szCs w:val="22"/>
                        </w:rPr>
                        <w:t>the asset in SCEIS.</w:t>
                      </w:r>
                    </w:p>
                    <w:p w14:paraId="539BFDA1" w14:textId="29C79258" w:rsidR="002012B6" w:rsidRPr="00D57E22" w:rsidRDefault="002012B6" w:rsidP="002012B6">
                      <w:pPr>
                        <w:jc w:val="center"/>
                        <w:rPr>
                          <w:sz w:val="22"/>
                          <w:szCs w:val="22"/>
                        </w:rPr>
                      </w:pPr>
                      <w:r w:rsidRPr="00D57E22">
                        <w:rPr>
                          <w:b/>
                          <w:iCs/>
                          <w:sz w:val="22"/>
                          <w:szCs w:val="22"/>
                        </w:rPr>
                        <w:t>BUILDING</w:t>
                      </w:r>
                      <w:r w:rsidR="005A4933">
                        <w:rPr>
                          <w:b/>
                          <w:iCs/>
                          <w:sz w:val="22"/>
                          <w:szCs w:val="22"/>
                        </w:rPr>
                        <w:t xml:space="preserve"> AND DEPRECIABLE LAND</w:t>
                      </w:r>
                      <w:r w:rsidRPr="00D57E22">
                        <w:rPr>
                          <w:b/>
                          <w:iCs/>
                          <w:sz w:val="22"/>
                          <w:szCs w:val="22"/>
                        </w:rPr>
                        <w:t xml:space="preserve"> IMPROVEMENTS:</w:t>
                      </w:r>
                      <w:r w:rsidRPr="00D57E22">
                        <w:rPr>
                          <w:b/>
                          <w:i/>
                          <w:sz w:val="22"/>
                          <w:szCs w:val="22"/>
                        </w:rPr>
                        <w:t xml:space="preserve"> </w:t>
                      </w:r>
                      <w:r w:rsidRPr="00D57E22">
                        <w:rPr>
                          <w:sz w:val="22"/>
                          <w:szCs w:val="22"/>
                        </w:rPr>
                        <w:t>STOP – no further action.</w:t>
                      </w:r>
                    </w:p>
                    <w:p w14:paraId="2F95DA58" w14:textId="225DE55A" w:rsidR="002012B6" w:rsidRPr="002012B6" w:rsidRDefault="002012B6" w:rsidP="002012B6">
                      <w:pPr>
                        <w:spacing w:before="0" w:after="0"/>
                        <w:jc w:val="center"/>
                        <w:rPr>
                          <w:bCs/>
                          <w:iCs/>
                        </w:rPr>
                      </w:pPr>
                    </w:p>
                    <w:p w14:paraId="1CE96A7A" w14:textId="77777777" w:rsidR="002012B6" w:rsidRDefault="002012B6" w:rsidP="002012B6">
                      <w:pPr>
                        <w:spacing w:before="0" w:after="0"/>
                        <w:jc w:val="center"/>
                      </w:pPr>
                    </w:p>
                    <w:p w14:paraId="0131E4BB" w14:textId="1A2338DD" w:rsidR="002012B6" w:rsidRDefault="002012B6" w:rsidP="002012B6">
                      <w:pPr>
                        <w:spacing w:before="0" w:after="0"/>
                        <w:jc w:val="center"/>
                      </w:pPr>
                    </w:p>
                  </w:txbxContent>
                </v:textbox>
              </v:shape>
            </w:pict>
          </mc:Fallback>
        </mc:AlternateContent>
      </w:r>
      <w:r w:rsidR="00D57E22">
        <w:rPr>
          <w:noProof/>
        </w:rPr>
        <mc:AlternateContent>
          <mc:Choice Requires="wps">
            <w:drawing>
              <wp:anchor distT="0" distB="0" distL="114300" distR="114300" simplePos="0" relativeHeight="251699200" behindDoc="0" locked="0" layoutInCell="1" allowOverlap="1" wp14:anchorId="1B9E256C" wp14:editId="3CE8329C">
                <wp:simplePos x="0" y="0"/>
                <wp:positionH relativeFrom="column">
                  <wp:posOffset>4541520</wp:posOffset>
                </wp:positionH>
                <wp:positionV relativeFrom="paragraph">
                  <wp:posOffset>5492750</wp:posOffset>
                </wp:positionV>
                <wp:extent cx="2377440" cy="502920"/>
                <wp:effectExtent l="0" t="0" r="22860" b="11430"/>
                <wp:wrapNone/>
                <wp:docPr id="33959200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02920"/>
                        </a:xfrm>
                        <a:prstGeom prst="flowChartProcess">
                          <a:avLst/>
                        </a:prstGeom>
                        <a:solidFill>
                          <a:srgbClr val="FFFFFF"/>
                        </a:solidFill>
                        <a:ln w="9525">
                          <a:solidFill>
                            <a:srgbClr val="000000"/>
                          </a:solidFill>
                          <a:miter lim="800000"/>
                          <a:headEnd/>
                          <a:tailEnd/>
                        </a:ln>
                      </wps:spPr>
                      <wps:txbx>
                        <w:txbxContent>
                          <w:p w14:paraId="6878121F" w14:textId="169F933C" w:rsidR="00D57E22" w:rsidRPr="00D57E22" w:rsidRDefault="00D57E22" w:rsidP="00D57E22">
                            <w:pPr>
                              <w:spacing w:before="0" w:after="0"/>
                              <w:jc w:val="left"/>
                              <w:rPr>
                                <w:bCs/>
                                <w:iCs/>
                                <w:sz w:val="18"/>
                                <w:szCs w:val="18"/>
                              </w:rPr>
                            </w:pPr>
                            <w:r w:rsidRPr="00D57E22">
                              <w:rPr>
                                <w:b/>
                                <w:iCs/>
                                <w:sz w:val="18"/>
                                <w:szCs w:val="18"/>
                              </w:rPr>
                              <w:t>Note 1</w:t>
                            </w:r>
                            <w:r w:rsidRPr="00D57E22">
                              <w:rPr>
                                <w:bCs/>
                                <w:iCs/>
                                <w:sz w:val="18"/>
                                <w:szCs w:val="18"/>
                              </w:rPr>
                              <w:t xml:space="preserve">: </w:t>
                            </w:r>
                            <w:r>
                              <w:rPr>
                                <w:bCs/>
                                <w:iCs/>
                                <w:sz w:val="18"/>
                                <w:szCs w:val="18"/>
                              </w:rPr>
                              <w:t>Immovable a</w:t>
                            </w:r>
                            <w:r w:rsidRPr="00D57E22">
                              <w:rPr>
                                <w:bCs/>
                                <w:iCs/>
                                <w:sz w:val="18"/>
                                <w:szCs w:val="18"/>
                              </w:rPr>
                              <w:t>sset</w:t>
                            </w:r>
                            <w:r>
                              <w:rPr>
                                <w:bCs/>
                                <w:iCs/>
                                <w:sz w:val="18"/>
                                <w:szCs w:val="18"/>
                              </w:rPr>
                              <w:t xml:space="preserve">s </w:t>
                            </w:r>
                            <w:r w:rsidRPr="00D57E22">
                              <w:rPr>
                                <w:bCs/>
                                <w:iCs/>
                                <w:sz w:val="18"/>
                                <w:szCs w:val="18"/>
                              </w:rPr>
                              <w:t>include building</w:t>
                            </w:r>
                            <w:r>
                              <w:rPr>
                                <w:bCs/>
                                <w:iCs/>
                                <w:sz w:val="18"/>
                                <w:szCs w:val="18"/>
                              </w:rPr>
                              <w:t>s</w:t>
                            </w:r>
                            <w:r w:rsidRPr="00D57E22">
                              <w:rPr>
                                <w:bCs/>
                                <w:iCs/>
                                <w:sz w:val="18"/>
                                <w:szCs w:val="18"/>
                              </w:rPr>
                              <w:t xml:space="preserve">, building improvements, and depreciable land improvements.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256C" id="_x0000_s1030" type="#_x0000_t109" style="position:absolute;left:0;text-align:left;margin-left:357.6pt;margin-top:432.5pt;width:187.2pt;height:3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">
                <v:textbox>
                  <w:txbxContent>
                    <w:p w14:paraId="6878121F" w14:textId="169F933C" w:rsidR="00D57E22" w:rsidRPr="00D57E22" w:rsidRDefault="00D57E22" w:rsidP="00D57E22">
                      <w:pPr>
                        <w:spacing w:before="0" w:after="0"/>
                        <w:jc w:val="left"/>
                        <w:rPr>
                          <w:bCs/>
                          <w:iCs/>
                          <w:sz w:val="18"/>
                          <w:szCs w:val="18"/>
                        </w:rPr>
                      </w:pPr>
                      <w:r w:rsidRPr="00D57E22">
                        <w:rPr>
                          <w:b/>
                          <w:iCs/>
                          <w:sz w:val="18"/>
                          <w:szCs w:val="18"/>
                        </w:rPr>
                        <w:t>Note 1</w:t>
                      </w:r>
                      <w:r w:rsidRPr="00D57E22">
                        <w:rPr>
                          <w:bCs/>
                          <w:iCs/>
                          <w:sz w:val="18"/>
                          <w:szCs w:val="18"/>
                        </w:rPr>
                        <w:t xml:space="preserve">: </w:t>
                      </w:r>
                      <w:r>
                        <w:rPr>
                          <w:bCs/>
                          <w:iCs/>
                          <w:sz w:val="18"/>
                          <w:szCs w:val="18"/>
                        </w:rPr>
                        <w:t>Immovable a</w:t>
                      </w:r>
                      <w:r w:rsidRPr="00D57E22">
                        <w:rPr>
                          <w:bCs/>
                          <w:iCs/>
                          <w:sz w:val="18"/>
                          <w:szCs w:val="18"/>
                        </w:rPr>
                        <w:t>sset</w:t>
                      </w:r>
                      <w:r>
                        <w:rPr>
                          <w:bCs/>
                          <w:iCs/>
                          <w:sz w:val="18"/>
                          <w:szCs w:val="18"/>
                        </w:rPr>
                        <w:t xml:space="preserve">s </w:t>
                      </w:r>
                      <w:r w:rsidRPr="00D57E22">
                        <w:rPr>
                          <w:bCs/>
                          <w:iCs/>
                          <w:sz w:val="18"/>
                          <w:szCs w:val="18"/>
                        </w:rPr>
                        <w:t>include building</w:t>
                      </w:r>
                      <w:r>
                        <w:rPr>
                          <w:bCs/>
                          <w:iCs/>
                          <w:sz w:val="18"/>
                          <w:szCs w:val="18"/>
                        </w:rPr>
                        <w:t>s</w:t>
                      </w:r>
                      <w:r w:rsidRPr="00D57E22">
                        <w:rPr>
                          <w:bCs/>
                          <w:iCs/>
                          <w:sz w:val="18"/>
                          <w:szCs w:val="18"/>
                        </w:rPr>
                        <w:t xml:space="preserve">, building improvements, and depreciable land improvements. </w:t>
                      </w:r>
                    </w:p>
                  </w:txbxContent>
                </v:textbox>
              </v:shape>
            </w:pict>
          </mc:Fallback>
        </mc:AlternateContent>
      </w:r>
      <w:r w:rsidR="00CE7B79">
        <w:rPr>
          <w:noProof/>
        </w:rPr>
        <mc:AlternateContent>
          <mc:Choice Requires="wps">
            <w:drawing>
              <wp:anchor distT="0" distB="0" distL="114300" distR="114300" simplePos="0" relativeHeight="251674624" behindDoc="0" locked="0" layoutInCell="1" allowOverlap="1" wp14:anchorId="6A6191EA" wp14:editId="3B39442B">
                <wp:simplePos x="0" y="0"/>
                <wp:positionH relativeFrom="column">
                  <wp:posOffset>4674870</wp:posOffset>
                </wp:positionH>
                <wp:positionV relativeFrom="paragraph">
                  <wp:posOffset>4225924</wp:posOffset>
                </wp:positionV>
                <wp:extent cx="2133600" cy="1000125"/>
                <wp:effectExtent l="0" t="0" r="19050" b="2857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000125"/>
                        </a:xfrm>
                        <a:prstGeom prst="flowChartProcess">
                          <a:avLst/>
                        </a:prstGeom>
                        <a:solidFill>
                          <a:srgbClr val="FFFFFF"/>
                        </a:solidFill>
                        <a:ln w="9525">
                          <a:solidFill>
                            <a:srgbClr val="000000"/>
                          </a:solidFill>
                          <a:miter lim="800000"/>
                          <a:headEnd/>
                          <a:tailEnd/>
                        </a:ln>
                      </wps:spPr>
                      <wps:txbx>
                        <w:txbxContent>
                          <w:p w14:paraId="339C1E30" w14:textId="77777777" w:rsidR="001D6B4B" w:rsidRDefault="001D6B4B" w:rsidP="00761D34">
                            <w:pPr>
                              <w:spacing w:before="0" w:after="0"/>
                              <w:jc w:val="center"/>
                            </w:pPr>
                            <w:r w:rsidRPr="00F2183D">
                              <w:rPr>
                                <w:b/>
                                <w:i/>
                              </w:rPr>
                              <w:t>Low Value Moveable Asset</w:t>
                            </w:r>
                            <w:r>
                              <w:t xml:space="preserve"> –</w:t>
                            </w:r>
                          </w:p>
                          <w:p w14:paraId="073EE9F0" w14:textId="77777777" w:rsidR="001D6B4B" w:rsidRDefault="001D6B4B" w:rsidP="00761D34">
                            <w:pPr>
                              <w:spacing w:before="0" w:after="0"/>
                              <w:jc w:val="center"/>
                            </w:pPr>
                            <w:r>
                              <w:t>Tag the asset.</w:t>
                            </w:r>
                          </w:p>
                          <w:p w14:paraId="13A14F24" w14:textId="4520BCBA" w:rsidR="001D6B4B" w:rsidRDefault="00CE7B79" w:rsidP="00761D34">
                            <w:pPr>
                              <w:spacing w:before="0" w:after="0"/>
                              <w:jc w:val="center"/>
                            </w:pPr>
                            <w:r>
                              <w:t xml:space="preserve">Record and track </w:t>
                            </w:r>
                            <w:r w:rsidR="001D6B4B">
                              <w:t>the asset in SCEIS.</w:t>
                            </w:r>
                          </w:p>
                          <w:p w14:paraId="2E65DF56" w14:textId="77777777" w:rsidR="001D6B4B" w:rsidRDefault="001D6B4B" w:rsidP="00761D34">
                            <w:pPr>
                              <w:spacing w:before="0" w:after="0"/>
                              <w:jc w:val="center"/>
                            </w:pPr>
                            <w:r>
                              <w:t>Include in annual 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91EA" id="_x0000_s1031" type="#_x0000_t109" style="position:absolute;left:0;text-align:left;margin-left:368.1pt;margin-top:332.75pt;width:168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">
                <v:textbox>
                  <w:txbxContent>
                    <w:p w14:paraId="339C1E30" w14:textId="77777777" w:rsidR="001D6B4B" w:rsidRDefault="001D6B4B" w:rsidP="00761D34">
                      <w:pPr>
                        <w:spacing w:before="0" w:after="0"/>
                        <w:jc w:val="center"/>
                      </w:pPr>
                      <w:r w:rsidRPr="00F2183D">
                        <w:rPr>
                          <w:b/>
                          <w:i/>
                        </w:rPr>
                        <w:t>Low Value Moveable Asset</w:t>
                      </w:r>
                      <w:r>
                        <w:t xml:space="preserve"> –</w:t>
                      </w:r>
                    </w:p>
                    <w:p w14:paraId="073EE9F0" w14:textId="77777777" w:rsidR="001D6B4B" w:rsidRDefault="001D6B4B" w:rsidP="00761D34">
                      <w:pPr>
                        <w:spacing w:before="0" w:after="0"/>
                        <w:jc w:val="center"/>
                      </w:pPr>
                      <w:r>
                        <w:t>Tag the asset.</w:t>
                      </w:r>
                    </w:p>
                    <w:p w14:paraId="13A14F24" w14:textId="4520BCBA" w:rsidR="001D6B4B" w:rsidRDefault="00CE7B79" w:rsidP="00761D34">
                      <w:pPr>
                        <w:spacing w:before="0" w:after="0"/>
                        <w:jc w:val="center"/>
                      </w:pPr>
                      <w:r>
                        <w:t xml:space="preserve">Record and track </w:t>
                      </w:r>
                      <w:r w:rsidR="001D6B4B">
                        <w:t>the asset in SCEIS.</w:t>
                      </w:r>
                    </w:p>
                    <w:p w14:paraId="2E65DF56" w14:textId="77777777" w:rsidR="001D6B4B" w:rsidRDefault="001D6B4B" w:rsidP="00761D34">
                      <w:pPr>
                        <w:spacing w:before="0" w:after="0"/>
                        <w:jc w:val="center"/>
                      </w:pPr>
                      <w:r>
                        <w:t>Include in annual count.</w:t>
                      </w:r>
                    </w:p>
                  </w:txbxContent>
                </v:textbox>
              </v:shape>
            </w:pict>
          </mc:Fallback>
        </mc:AlternateContent>
      </w:r>
      <w:r w:rsidR="00FB6B53">
        <w:rPr>
          <w:noProof/>
        </w:rPr>
        <mc:AlternateContent>
          <mc:Choice Requires="wps">
            <w:drawing>
              <wp:anchor distT="0" distB="0" distL="114300" distR="114300" simplePos="0" relativeHeight="251670528" behindDoc="0" locked="0" layoutInCell="1" allowOverlap="1" wp14:anchorId="1A9EED06" wp14:editId="5DF7C5E9">
                <wp:simplePos x="0" y="0"/>
                <wp:positionH relativeFrom="column">
                  <wp:posOffset>3375660</wp:posOffset>
                </wp:positionH>
                <wp:positionV relativeFrom="paragraph">
                  <wp:posOffset>783590</wp:posOffset>
                </wp:positionV>
                <wp:extent cx="2362200" cy="515620"/>
                <wp:effectExtent l="0" t="0" r="19050" b="17780"/>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15620"/>
                        </a:xfrm>
                        <a:prstGeom prst="flowChartTerminator">
                          <a:avLst/>
                        </a:prstGeom>
                        <a:solidFill>
                          <a:srgbClr val="FFFFFF"/>
                        </a:solidFill>
                        <a:ln w="9525">
                          <a:solidFill>
                            <a:srgbClr val="000000"/>
                          </a:solidFill>
                          <a:miter lim="800000"/>
                          <a:headEnd/>
                          <a:tailEnd/>
                        </a:ln>
                      </wps:spPr>
                      <wps:txbx>
                        <w:txbxContent>
                          <w:p w14:paraId="36D83DDC" w14:textId="77777777" w:rsidR="001D6B4B" w:rsidRDefault="001D6B4B" w:rsidP="00761D34">
                            <w:r>
                              <w:t>STOP – 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EED06" id="AutoShape 18" o:spid="_x0000_s1032" type="#_x0000_t116" style="position:absolute;left:0;text-align:left;margin-left:265.8pt;margin-top:61.7pt;width:186pt;height:4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">
                <v:textbox>
                  <w:txbxContent>
                    <w:p w14:paraId="36D83DDC" w14:textId="77777777" w:rsidR="001D6B4B" w:rsidRDefault="001D6B4B" w:rsidP="00761D34">
                      <w:r>
                        <w:t>STOP – no further action.</w:t>
                      </w:r>
                    </w:p>
                  </w:txbxContent>
                </v:textbox>
              </v:shape>
            </w:pict>
          </mc:Fallback>
        </mc:AlternateContent>
      </w:r>
      <w:r w:rsidR="00F0602A">
        <w:rPr>
          <w:noProof/>
        </w:rPr>
        <mc:AlternateContent>
          <mc:Choice Requires="wps">
            <w:drawing>
              <wp:anchor distT="0" distB="0" distL="114300" distR="114300" simplePos="0" relativeHeight="251676672" behindDoc="0" locked="0" layoutInCell="1" allowOverlap="1" wp14:anchorId="05706778" wp14:editId="443E28AE">
                <wp:simplePos x="0" y="0"/>
                <wp:positionH relativeFrom="column">
                  <wp:posOffset>3276600</wp:posOffset>
                </wp:positionH>
                <wp:positionV relativeFrom="paragraph">
                  <wp:posOffset>3503295</wp:posOffset>
                </wp:positionV>
                <wp:extent cx="3423920" cy="652145"/>
                <wp:effectExtent l="9525" t="7620" r="5080" b="6985"/>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652145"/>
                        </a:xfrm>
                        <a:prstGeom prst="flowChartProcess">
                          <a:avLst/>
                        </a:prstGeom>
                        <a:solidFill>
                          <a:srgbClr val="FFFFFF"/>
                        </a:solidFill>
                        <a:ln w="9525">
                          <a:solidFill>
                            <a:srgbClr val="000000"/>
                          </a:solidFill>
                          <a:miter lim="800000"/>
                          <a:headEnd/>
                          <a:tailEnd/>
                        </a:ln>
                      </wps:spPr>
                      <wps:txbx>
                        <w:txbxContent>
                          <w:p w14:paraId="7EA04847" w14:textId="77777777" w:rsidR="001D6B4B" w:rsidRDefault="001D6B4B" w:rsidP="00761D34">
                            <w:pPr>
                              <w:spacing w:before="0" w:after="0"/>
                              <w:jc w:val="center"/>
                            </w:pPr>
                            <w:r w:rsidRPr="00753671">
                              <w:rPr>
                                <w:b/>
                                <w:sz w:val="26"/>
                                <w:szCs w:val="26"/>
                              </w:rPr>
                              <w:t>CAPITAL ASSET</w:t>
                            </w:r>
                            <w:r>
                              <w:t xml:space="preserve"> –</w:t>
                            </w:r>
                          </w:p>
                          <w:p w14:paraId="6601C2ED" w14:textId="13F4FD65" w:rsidR="001D6B4B" w:rsidRDefault="00CE7B79" w:rsidP="00761D34">
                            <w:pPr>
                              <w:spacing w:before="0" w:after="0"/>
                              <w:jc w:val="center"/>
                            </w:pPr>
                            <w:r>
                              <w:t xml:space="preserve">Record </w:t>
                            </w:r>
                            <w:r w:rsidR="00D7536F">
                              <w:t xml:space="preserve">and track </w:t>
                            </w:r>
                            <w:r w:rsidR="001D6B4B">
                              <w:t>the asset in SCEIS.</w:t>
                            </w:r>
                          </w:p>
                          <w:p w14:paraId="6C9FF71B" w14:textId="77777777" w:rsidR="001D6B4B" w:rsidRDefault="001D6B4B" w:rsidP="00761D34">
                            <w:pPr>
                              <w:spacing w:before="0" w:after="0"/>
                              <w:jc w:val="center"/>
                            </w:pPr>
                            <w:r>
                              <w:t>Capitalize the asset by posting in the general ledger.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6778" id="AutoShape 24" o:spid="_x0000_s1033" type="#_x0000_t109" style="position:absolute;left:0;text-align:left;margin-left:258pt;margin-top:275.85pt;width:269.6pt;height:5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">
                <v:textbox>
                  <w:txbxContent>
                    <w:p w14:paraId="7EA04847" w14:textId="77777777" w:rsidR="001D6B4B" w:rsidRDefault="001D6B4B" w:rsidP="00761D34">
                      <w:pPr>
                        <w:spacing w:before="0" w:after="0"/>
                        <w:jc w:val="center"/>
                      </w:pPr>
                      <w:r w:rsidRPr="00753671">
                        <w:rPr>
                          <w:b/>
                          <w:sz w:val="26"/>
                          <w:szCs w:val="26"/>
                        </w:rPr>
                        <w:t>CAPITAL ASSET</w:t>
                      </w:r>
                      <w:r>
                        <w:t xml:space="preserve"> –</w:t>
                      </w:r>
                    </w:p>
                    <w:p w14:paraId="6601C2ED" w14:textId="13F4FD65" w:rsidR="001D6B4B" w:rsidRDefault="00CE7B79" w:rsidP="00761D34">
                      <w:pPr>
                        <w:spacing w:before="0" w:after="0"/>
                        <w:jc w:val="center"/>
                      </w:pPr>
                      <w:r>
                        <w:t xml:space="preserve">Record </w:t>
                      </w:r>
                      <w:r w:rsidR="00D7536F">
                        <w:t xml:space="preserve">and track </w:t>
                      </w:r>
                      <w:r w:rsidR="001D6B4B">
                        <w:t>the asset in SCEIS.</w:t>
                      </w:r>
                    </w:p>
                    <w:p w14:paraId="6C9FF71B" w14:textId="77777777" w:rsidR="001D6B4B" w:rsidRDefault="001D6B4B" w:rsidP="00761D34">
                      <w:pPr>
                        <w:spacing w:before="0" w:after="0"/>
                        <w:jc w:val="center"/>
                      </w:pPr>
                      <w:r>
                        <w:t>Capitalize the asset by posting in the general ledger.</w:t>
                      </w:r>
                    </w:p>
                  </w:txbxContent>
                </v:textbox>
              </v:shape>
            </w:pict>
          </mc:Fallback>
        </mc:AlternateContent>
      </w:r>
      <w:r w:rsidR="00F0602A">
        <w:rPr>
          <w:noProof/>
        </w:rPr>
        <mc:AlternateContent>
          <mc:Choice Requires="wps">
            <w:drawing>
              <wp:anchor distT="0" distB="0" distL="114300" distR="114300" simplePos="0" relativeHeight="251657213" behindDoc="0" locked="0" layoutInCell="1" allowOverlap="1" wp14:anchorId="07B8E57F" wp14:editId="6686D607">
                <wp:simplePos x="0" y="0"/>
                <wp:positionH relativeFrom="column">
                  <wp:posOffset>2773680</wp:posOffset>
                </wp:positionH>
                <wp:positionV relativeFrom="paragraph">
                  <wp:posOffset>780415</wp:posOffset>
                </wp:positionV>
                <wp:extent cx="464185" cy="419100"/>
                <wp:effectExtent l="1905" t="0" r="635" b="63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077C1" w14:textId="77777777" w:rsidR="001D6B4B" w:rsidRDefault="001D6B4B" w:rsidP="00761D34">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B8E57F" id="Text Box 38" o:spid="_x0000_s1034" type="#_x0000_t202" style="position:absolute;left:0;text-align:left;margin-left:218.4pt;margin-top:61.45pt;width:36.55pt;height:33pt;z-index:25165721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" stroked="f">
                <v:textbox style="mso-fit-shape-to-text:t">
                  <w:txbxContent>
                    <w:p w14:paraId="31D077C1" w14:textId="77777777" w:rsidR="001D6B4B" w:rsidRDefault="001D6B4B" w:rsidP="00761D34">
                      <w:r>
                        <w:t>No</w:t>
                      </w:r>
                    </w:p>
                  </w:txbxContent>
                </v:textbox>
              </v:shape>
            </w:pict>
          </mc:Fallback>
        </mc:AlternateContent>
      </w:r>
      <w:r w:rsidR="00F0602A">
        <w:rPr>
          <w:noProof/>
        </w:rPr>
        <mc:AlternateContent>
          <mc:Choice Requires="wps">
            <w:drawing>
              <wp:anchor distT="0" distB="0" distL="114300" distR="114300" simplePos="0" relativeHeight="251677696" behindDoc="0" locked="0" layoutInCell="1" allowOverlap="1" wp14:anchorId="1620466D" wp14:editId="6F3A921F">
                <wp:simplePos x="0" y="0"/>
                <wp:positionH relativeFrom="column">
                  <wp:posOffset>2495550</wp:posOffset>
                </wp:positionH>
                <wp:positionV relativeFrom="paragraph">
                  <wp:posOffset>1092835</wp:posOffset>
                </wp:positionV>
                <wp:extent cx="929005" cy="371475"/>
                <wp:effectExtent l="9525" t="64135" r="23495" b="1206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005" cy="371475"/>
                        </a:xfrm>
                        <a:prstGeom prst="bentConnector3">
                          <a:avLst>
                            <a:gd name="adj1" fmla="val 49968"/>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440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26" type="#_x0000_t34" style="position:absolute;margin-left:196.5pt;margin-top:86.05pt;width:73.15pt;height:29.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" adj="10793" strokeweight="1.25pt">
                <v:stroke endarrow="block"/>
              </v:shape>
            </w:pict>
          </mc:Fallback>
        </mc:AlternateContent>
      </w:r>
      <w:r w:rsidR="00F0602A">
        <w:rPr>
          <w:noProof/>
        </w:rPr>
        <mc:AlternateContent>
          <mc:Choice Requires="wps">
            <w:drawing>
              <wp:anchor distT="0" distB="0" distL="114300" distR="114300" simplePos="0" relativeHeight="251656188" behindDoc="0" locked="0" layoutInCell="1" allowOverlap="1" wp14:anchorId="350496E3" wp14:editId="0C1D6466">
                <wp:simplePos x="0" y="0"/>
                <wp:positionH relativeFrom="column">
                  <wp:posOffset>2411730</wp:posOffset>
                </wp:positionH>
                <wp:positionV relativeFrom="paragraph">
                  <wp:posOffset>2167255</wp:posOffset>
                </wp:positionV>
                <wp:extent cx="464185" cy="419100"/>
                <wp:effectExtent l="1905" t="0" r="635" b="4445"/>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BE3CE" w14:textId="77777777" w:rsidR="001D6B4B" w:rsidRDefault="001D6B4B" w:rsidP="00761D34">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0496E3" id="Text Box 39" o:spid="_x0000_s1035" type="#_x0000_t202" style="position:absolute;left:0;text-align:left;margin-left:189.9pt;margin-top:170.65pt;width:36.55pt;height:33pt;z-index:2516561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" stroked="f">
                <v:textbox style="mso-fit-shape-to-text:t">
                  <w:txbxContent>
                    <w:p w14:paraId="773BE3CE" w14:textId="77777777" w:rsidR="001D6B4B" w:rsidRDefault="001D6B4B" w:rsidP="00761D34">
                      <w:r>
                        <w:t>No</w:t>
                      </w:r>
                    </w:p>
                  </w:txbxContent>
                </v:textbox>
              </v:shape>
            </w:pict>
          </mc:Fallback>
        </mc:AlternateContent>
      </w:r>
      <w:r w:rsidR="00F0602A">
        <w:rPr>
          <w:noProof/>
        </w:rPr>
        <mc:AlternateContent>
          <mc:Choice Requires="wps">
            <w:drawing>
              <wp:anchor distT="0" distB="0" distL="114300" distR="114300" simplePos="0" relativeHeight="251681792" behindDoc="0" locked="0" layoutInCell="1" allowOverlap="1" wp14:anchorId="5EA1600A" wp14:editId="0CB9F3AC">
                <wp:simplePos x="0" y="0"/>
                <wp:positionH relativeFrom="column">
                  <wp:posOffset>2362200</wp:posOffset>
                </wp:positionH>
                <wp:positionV relativeFrom="paragraph">
                  <wp:posOffset>2469515</wp:posOffset>
                </wp:positionV>
                <wp:extent cx="483235" cy="252730"/>
                <wp:effectExtent l="9525" t="59690" r="21590" b="1143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235" cy="252730"/>
                        </a:xfrm>
                        <a:prstGeom prst="bentConnector3">
                          <a:avLst>
                            <a:gd name="adj1" fmla="val 49935"/>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956DE" id="AutoShape 29" o:spid="_x0000_s1026" type="#_x0000_t34" style="position:absolute;margin-left:186pt;margin-top:194.45pt;width:38.05pt;height:19.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" adj="10786" strokeweight="1.25pt">
                <v:stroke endarrow="block"/>
              </v:shape>
            </w:pict>
          </mc:Fallback>
        </mc:AlternateContent>
      </w:r>
      <w:r w:rsidR="00F0602A">
        <w:rPr>
          <w:noProof/>
        </w:rPr>
        <mc:AlternateContent>
          <mc:Choice Requires="wps">
            <w:drawing>
              <wp:anchor distT="0" distB="0" distL="114300" distR="114300" simplePos="0" relativeHeight="251683840" behindDoc="0" locked="0" layoutInCell="1" allowOverlap="1" wp14:anchorId="2358CF06" wp14:editId="194D6923">
                <wp:simplePos x="0" y="0"/>
                <wp:positionH relativeFrom="column">
                  <wp:posOffset>4942840</wp:posOffset>
                </wp:positionH>
                <wp:positionV relativeFrom="paragraph">
                  <wp:posOffset>2469515</wp:posOffset>
                </wp:positionV>
                <wp:extent cx="203200" cy="0"/>
                <wp:effectExtent l="8890" t="59690" r="26035" b="641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FD83E" id="_x0000_t32" coordsize="21600,21600" o:spt="32" o:oned="t" path="m,l21600,21600e" filled="f">
                <v:path arrowok="t" fillok="f" o:connecttype="none"/>
                <o:lock v:ext="edit" shapetype="t"/>
              </v:shapetype>
              <v:shape id="AutoShape 31" o:spid="_x0000_s1026" type="#_x0000_t32" style="position:absolute;margin-left:389.2pt;margin-top:194.45pt;width:1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" strokeweight="1.25pt">
                <v:stroke endarrow="block"/>
              </v:shape>
            </w:pict>
          </mc:Fallback>
        </mc:AlternateContent>
      </w:r>
      <w:r w:rsidR="00F0602A">
        <w:rPr>
          <w:noProof/>
        </w:rPr>
        <mc:AlternateContent>
          <mc:Choice Requires="wps">
            <w:drawing>
              <wp:anchor distT="0" distB="0" distL="114300" distR="114300" simplePos="0" relativeHeight="251663360" behindDoc="0" locked="0" layoutInCell="1" allowOverlap="1" wp14:anchorId="3A7BEB1D" wp14:editId="1C61E693">
                <wp:simplePos x="0" y="0"/>
                <wp:positionH relativeFrom="column">
                  <wp:posOffset>4853305</wp:posOffset>
                </wp:positionH>
                <wp:positionV relativeFrom="paragraph">
                  <wp:posOffset>2138680</wp:posOffset>
                </wp:positionV>
                <wp:extent cx="464185" cy="419100"/>
                <wp:effectExtent l="0" t="0" r="0" b="444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DBC00" w14:textId="77777777" w:rsidR="001D6B4B" w:rsidRDefault="001D6B4B" w:rsidP="00761D34">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7BEB1D" id="Text Box 11" o:spid="_x0000_s1036" type="#_x0000_t202" style="position:absolute;left:0;text-align:left;margin-left:382.15pt;margin-top:168.4pt;width:36.55pt;height:3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" stroked="f">
                <v:textbox style="mso-fit-shape-to-text:t">
                  <w:txbxContent>
                    <w:p w14:paraId="2D9DBC00" w14:textId="77777777" w:rsidR="001D6B4B" w:rsidRDefault="001D6B4B" w:rsidP="00761D34">
                      <w:r>
                        <w:t>No</w:t>
                      </w:r>
                    </w:p>
                  </w:txbxContent>
                </v:textbox>
              </v:shape>
            </w:pict>
          </mc:Fallback>
        </mc:AlternateContent>
      </w:r>
      <w:r w:rsidR="00F0602A">
        <w:rPr>
          <w:noProof/>
        </w:rPr>
        <mc:AlternateContent>
          <mc:Choice Requires="wps">
            <w:drawing>
              <wp:anchor distT="0" distB="0" distL="114300" distR="114300" simplePos="0" relativeHeight="251666432" behindDoc="0" locked="0" layoutInCell="1" allowOverlap="1" wp14:anchorId="3771C580" wp14:editId="255A6D76">
                <wp:simplePos x="0" y="0"/>
                <wp:positionH relativeFrom="column">
                  <wp:posOffset>2845435</wp:posOffset>
                </wp:positionH>
                <wp:positionV relativeFrom="paragraph">
                  <wp:posOffset>1616075</wp:posOffset>
                </wp:positionV>
                <wp:extent cx="2097405" cy="1696720"/>
                <wp:effectExtent l="16510" t="15875" r="19685" b="1143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1696720"/>
                        </a:xfrm>
                        <a:prstGeom prst="diamond">
                          <a:avLst/>
                        </a:prstGeom>
                        <a:solidFill>
                          <a:srgbClr val="FFFFFF"/>
                        </a:solidFill>
                        <a:ln w="9525">
                          <a:solidFill>
                            <a:srgbClr val="000000"/>
                          </a:solidFill>
                          <a:miter lim="800000"/>
                          <a:headEnd/>
                          <a:tailEnd/>
                        </a:ln>
                      </wps:spPr>
                      <wps:txbx>
                        <w:txbxContent>
                          <w:p w14:paraId="5E6229E8" w14:textId="641CA8CC" w:rsidR="001D6B4B" w:rsidRPr="00D57E22" w:rsidRDefault="001D6B4B" w:rsidP="00761D34">
                            <w:pPr>
                              <w:jc w:val="center"/>
                              <w:rPr>
                                <w:sz w:val="18"/>
                                <w:szCs w:val="18"/>
                              </w:rPr>
                            </w:pPr>
                            <w:r w:rsidRPr="00D57E22">
                              <w:rPr>
                                <w:sz w:val="18"/>
                                <w:szCs w:val="18"/>
                              </w:rPr>
                              <w:t xml:space="preserve">Is the value of the </w:t>
                            </w:r>
                            <w:r w:rsidR="00D57E22" w:rsidRPr="00D57E22">
                              <w:rPr>
                                <w:sz w:val="18"/>
                                <w:szCs w:val="18"/>
                              </w:rPr>
                              <w:t xml:space="preserve">immovable </w:t>
                            </w:r>
                            <w:r w:rsidRPr="00D57E22">
                              <w:rPr>
                                <w:sz w:val="18"/>
                                <w:szCs w:val="18"/>
                              </w:rPr>
                              <w:t>asset (</w:t>
                            </w:r>
                            <w:r w:rsidR="00D57E22" w:rsidRPr="00D57E22">
                              <w:rPr>
                                <w:sz w:val="18"/>
                                <w:szCs w:val="18"/>
                              </w:rPr>
                              <w:t>See Note 1 below)</w:t>
                            </w:r>
                            <w:r w:rsidRPr="00D57E22">
                              <w:rPr>
                                <w:sz w:val="18"/>
                                <w:szCs w:val="18"/>
                              </w:rPr>
                              <w:t xml:space="preserve"> over $100,000?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C580" id="AutoShape 14" o:spid="_x0000_s1037" type="#_x0000_t4" style="position:absolute;left:0;text-align:left;margin-left:224.05pt;margin-top:127.25pt;width:165.15pt;height:1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">
                <v:textbox>
                  <w:txbxContent>
                    <w:p w14:paraId="5E6229E8" w14:textId="641CA8CC" w:rsidR="001D6B4B" w:rsidRPr="00D57E22" w:rsidRDefault="001D6B4B" w:rsidP="00761D34">
                      <w:pPr>
                        <w:jc w:val="center"/>
                        <w:rPr>
                          <w:sz w:val="18"/>
                          <w:szCs w:val="18"/>
                        </w:rPr>
                      </w:pPr>
                      <w:r w:rsidRPr="00D57E22">
                        <w:rPr>
                          <w:sz w:val="18"/>
                          <w:szCs w:val="18"/>
                        </w:rPr>
                        <w:t xml:space="preserve">Is the value of the </w:t>
                      </w:r>
                      <w:r w:rsidR="00D57E22" w:rsidRPr="00D57E22">
                        <w:rPr>
                          <w:sz w:val="18"/>
                          <w:szCs w:val="18"/>
                        </w:rPr>
                        <w:t xml:space="preserve">immovable </w:t>
                      </w:r>
                      <w:r w:rsidRPr="00D57E22">
                        <w:rPr>
                          <w:sz w:val="18"/>
                          <w:szCs w:val="18"/>
                        </w:rPr>
                        <w:t>asset (</w:t>
                      </w:r>
                      <w:r w:rsidR="00D57E22" w:rsidRPr="00D57E22">
                        <w:rPr>
                          <w:sz w:val="18"/>
                          <w:szCs w:val="18"/>
                        </w:rPr>
                        <w:t>See Note 1 below)</w:t>
                      </w:r>
                      <w:r w:rsidRPr="00D57E22">
                        <w:rPr>
                          <w:sz w:val="18"/>
                          <w:szCs w:val="18"/>
                        </w:rPr>
                        <w:t xml:space="preserve"> over $100,000?</w:t>
                      </w:r>
                    </w:p>
                  </w:txbxContent>
                </v:textbox>
              </v:shape>
            </w:pict>
          </mc:Fallback>
        </mc:AlternateContent>
      </w:r>
      <w:r w:rsidR="00F0602A">
        <w:rPr>
          <w:noProof/>
        </w:rPr>
        <mc:AlternateContent>
          <mc:Choice Requires="wps">
            <w:drawing>
              <wp:anchor distT="0" distB="0" distL="114300" distR="114300" simplePos="0" relativeHeight="251691008" behindDoc="0" locked="0" layoutInCell="1" allowOverlap="1" wp14:anchorId="37D6FA1B" wp14:editId="4D45BD7E">
                <wp:simplePos x="0" y="0"/>
                <wp:positionH relativeFrom="column">
                  <wp:posOffset>1217295</wp:posOffset>
                </wp:positionH>
                <wp:positionV relativeFrom="paragraph">
                  <wp:posOffset>5004435</wp:posOffset>
                </wp:positionV>
                <wp:extent cx="119380" cy="1905"/>
                <wp:effectExtent l="56515" t="12065" r="55880" b="2095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9380" cy="1905"/>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7986C" id="AutoShape 48" o:spid="_x0000_s1026" type="#_x0000_t34" style="position:absolute;margin-left:95.85pt;margin-top:394.05pt;width:9.4pt;height:.1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" strokeweight="1.25pt">
                <v:stroke endarrow="block"/>
              </v:shape>
            </w:pict>
          </mc:Fallback>
        </mc:AlternateContent>
      </w:r>
      <w:r w:rsidR="00F0602A">
        <w:rPr>
          <w:noProof/>
        </w:rPr>
        <mc:AlternateContent>
          <mc:Choice Requires="wps">
            <w:drawing>
              <wp:anchor distT="0" distB="0" distL="114300" distR="114300" simplePos="0" relativeHeight="251662336" behindDoc="0" locked="0" layoutInCell="1" allowOverlap="1" wp14:anchorId="078362E5" wp14:editId="56758FAE">
                <wp:simplePos x="0" y="0"/>
                <wp:positionH relativeFrom="column">
                  <wp:posOffset>671195</wp:posOffset>
                </wp:positionH>
                <wp:positionV relativeFrom="paragraph">
                  <wp:posOffset>4726940</wp:posOffset>
                </wp:positionV>
                <wp:extent cx="464185" cy="419100"/>
                <wp:effectExtent l="4445" t="254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C4914" w14:textId="77777777" w:rsidR="001D6B4B" w:rsidRDefault="001D6B4B" w:rsidP="00761D34">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8362E5" id="Text Box 10" o:spid="_x0000_s1038" type="#_x0000_t202" style="position:absolute;left:0;text-align:left;margin-left:52.85pt;margin-top:372.2pt;width:36.55pt;height:3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" stroked="f">
                <v:textbox style="mso-fit-shape-to-text:t">
                  <w:txbxContent>
                    <w:p w14:paraId="3A5C4914" w14:textId="77777777" w:rsidR="001D6B4B" w:rsidRDefault="001D6B4B" w:rsidP="00761D34">
                      <w:r>
                        <w:t>Yes</w:t>
                      </w:r>
                    </w:p>
                  </w:txbxContent>
                </v:textbox>
              </v:shape>
            </w:pict>
          </mc:Fallback>
        </mc:AlternateContent>
      </w:r>
      <w:r w:rsidR="00F0602A">
        <w:rPr>
          <w:noProof/>
        </w:rPr>
        <mc:AlternateContent>
          <mc:Choice Requires="wps">
            <w:drawing>
              <wp:anchor distT="0" distB="0" distL="114300" distR="114300" simplePos="0" relativeHeight="251664384" behindDoc="0" locked="0" layoutInCell="1" allowOverlap="1" wp14:anchorId="7715F1A8" wp14:editId="287ACF7E">
                <wp:simplePos x="0" y="0"/>
                <wp:positionH relativeFrom="column">
                  <wp:posOffset>3422015</wp:posOffset>
                </wp:positionH>
                <wp:positionV relativeFrom="paragraph">
                  <wp:posOffset>3131820</wp:posOffset>
                </wp:positionV>
                <wp:extent cx="464185" cy="419100"/>
                <wp:effectExtent l="2540" t="0" r="0" b="190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B2CDE" w14:textId="77777777" w:rsidR="001D6B4B" w:rsidRDefault="001D6B4B" w:rsidP="00761D34">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15F1A8" id="Text Box 12" o:spid="_x0000_s1039" type="#_x0000_t202" style="position:absolute;left:0;text-align:left;margin-left:269.45pt;margin-top:246.6pt;width:36.55pt;height:3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" stroked="f">
                <v:textbox style="mso-fit-shape-to-text:t">
                  <w:txbxContent>
                    <w:p w14:paraId="31CB2CDE" w14:textId="77777777" w:rsidR="001D6B4B" w:rsidRDefault="001D6B4B" w:rsidP="00761D34">
                      <w:r>
                        <w:t>Yes</w:t>
                      </w:r>
                    </w:p>
                  </w:txbxContent>
                </v:textbox>
              </v:shape>
            </w:pict>
          </mc:Fallback>
        </mc:AlternateContent>
      </w:r>
      <w:r w:rsidR="00F0602A">
        <w:rPr>
          <w:noProof/>
        </w:rPr>
        <mc:AlternateContent>
          <mc:Choice Requires="wps">
            <w:drawing>
              <wp:anchor distT="0" distB="0" distL="114300" distR="114300" simplePos="0" relativeHeight="251673600" behindDoc="0" locked="0" layoutInCell="1" allowOverlap="1" wp14:anchorId="21C14477" wp14:editId="3592D46F">
                <wp:simplePos x="0" y="0"/>
                <wp:positionH relativeFrom="column">
                  <wp:posOffset>1009650</wp:posOffset>
                </wp:positionH>
                <wp:positionV relativeFrom="paragraph">
                  <wp:posOffset>5065395</wp:posOffset>
                </wp:positionV>
                <wp:extent cx="3399155" cy="995045"/>
                <wp:effectExtent l="9525" t="7620" r="10795" b="698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995045"/>
                        </a:xfrm>
                        <a:prstGeom prst="flowChartProcess">
                          <a:avLst/>
                        </a:prstGeom>
                        <a:solidFill>
                          <a:srgbClr val="FFFFFF"/>
                        </a:solidFill>
                        <a:ln w="9525">
                          <a:solidFill>
                            <a:srgbClr val="000000"/>
                          </a:solidFill>
                          <a:miter lim="800000"/>
                          <a:headEnd/>
                          <a:tailEnd/>
                        </a:ln>
                      </wps:spPr>
                      <wps:txbx>
                        <w:txbxContent>
                          <w:p w14:paraId="3BACF4BF" w14:textId="77777777" w:rsidR="001D6B4B" w:rsidRDefault="001D6B4B" w:rsidP="00761D34">
                            <w:pPr>
                              <w:spacing w:before="0" w:after="0"/>
                              <w:jc w:val="center"/>
                            </w:pPr>
                            <w:r w:rsidRPr="00753671">
                              <w:rPr>
                                <w:b/>
                                <w:sz w:val="26"/>
                                <w:szCs w:val="26"/>
                              </w:rPr>
                              <w:t>CAPITAL ASSET</w:t>
                            </w:r>
                            <w:r>
                              <w:t xml:space="preserve"> –</w:t>
                            </w:r>
                          </w:p>
                          <w:p w14:paraId="753605C5" w14:textId="77777777" w:rsidR="001D6B4B" w:rsidRDefault="001D6B4B" w:rsidP="00761D34">
                            <w:pPr>
                              <w:spacing w:before="0" w:after="0"/>
                              <w:jc w:val="center"/>
                            </w:pPr>
                            <w:r>
                              <w:t>Tag the asset.</w:t>
                            </w:r>
                          </w:p>
                          <w:p w14:paraId="34885439" w14:textId="651D0F03" w:rsidR="001D6B4B" w:rsidRDefault="00CE7B79" w:rsidP="00761D34">
                            <w:pPr>
                              <w:spacing w:before="0" w:after="0"/>
                              <w:jc w:val="center"/>
                            </w:pPr>
                            <w:r>
                              <w:t>Record and t</w:t>
                            </w:r>
                            <w:r w:rsidR="001D6B4B">
                              <w:t>rack the asset in SCEIS.</w:t>
                            </w:r>
                          </w:p>
                          <w:p w14:paraId="6D13D9B5" w14:textId="77777777" w:rsidR="001D6B4B" w:rsidRDefault="001D6B4B" w:rsidP="00761D34">
                            <w:pPr>
                              <w:spacing w:before="0" w:after="0"/>
                              <w:jc w:val="center"/>
                            </w:pPr>
                            <w:r>
                              <w:t>Capitalize the asset by posting in the general ledger.</w:t>
                            </w:r>
                          </w:p>
                          <w:p w14:paraId="2D93EE24" w14:textId="77777777" w:rsidR="001D6B4B" w:rsidRDefault="001D6B4B" w:rsidP="00761D34">
                            <w:pPr>
                              <w:spacing w:before="0" w:after="0"/>
                              <w:jc w:val="center"/>
                            </w:pPr>
                            <w:r>
                              <w:t>Include in the annual 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4477" id="AutoShape 21" o:spid="_x0000_s1040" type="#_x0000_t109" style="position:absolute;left:0;text-align:left;margin-left:79.5pt;margin-top:398.85pt;width:267.65pt;height:7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">
                <v:textbox>
                  <w:txbxContent>
                    <w:p w14:paraId="3BACF4BF" w14:textId="77777777" w:rsidR="001D6B4B" w:rsidRDefault="001D6B4B" w:rsidP="00761D34">
                      <w:pPr>
                        <w:spacing w:before="0" w:after="0"/>
                        <w:jc w:val="center"/>
                      </w:pPr>
                      <w:r w:rsidRPr="00753671">
                        <w:rPr>
                          <w:b/>
                          <w:sz w:val="26"/>
                          <w:szCs w:val="26"/>
                        </w:rPr>
                        <w:t>CAPITAL ASSET</w:t>
                      </w:r>
                      <w:r>
                        <w:t xml:space="preserve"> –</w:t>
                      </w:r>
                    </w:p>
                    <w:p w14:paraId="753605C5" w14:textId="77777777" w:rsidR="001D6B4B" w:rsidRDefault="001D6B4B" w:rsidP="00761D34">
                      <w:pPr>
                        <w:spacing w:before="0" w:after="0"/>
                        <w:jc w:val="center"/>
                      </w:pPr>
                      <w:r>
                        <w:t>Tag the asset.</w:t>
                      </w:r>
                    </w:p>
                    <w:p w14:paraId="34885439" w14:textId="651D0F03" w:rsidR="001D6B4B" w:rsidRDefault="00CE7B79" w:rsidP="00761D34">
                      <w:pPr>
                        <w:spacing w:before="0" w:after="0"/>
                        <w:jc w:val="center"/>
                      </w:pPr>
                      <w:r>
                        <w:t>Record and t</w:t>
                      </w:r>
                      <w:r w:rsidR="001D6B4B">
                        <w:t>rack the asset in SCEIS.</w:t>
                      </w:r>
                    </w:p>
                    <w:p w14:paraId="6D13D9B5" w14:textId="77777777" w:rsidR="001D6B4B" w:rsidRDefault="001D6B4B" w:rsidP="00761D34">
                      <w:pPr>
                        <w:spacing w:before="0" w:after="0"/>
                        <w:jc w:val="center"/>
                      </w:pPr>
                      <w:r>
                        <w:t>Capitalize the asset by posting in the general ledger.</w:t>
                      </w:r>
                    </w:p>
                    <w:p w14:paraId="2D93EE24" w14:textId="77777777" w:rsidR="001D6B4B" w:rsidRDefault="001D6B4B" w:rsidP="00761D34">
                      <w:pPr>
                        <w:spacing w:before="0" w:after="0"/>
                        <w:jc w:val="center"/>
                      </w:pPr>
                      <w:r>
                        <w:t>Include in the annual count.</w:t>
                      </w:r>
                    </w:p>
                  </w:txbxContent>
                </v:textbox>
              </v:shape>
            </w:pict>
          </mc:Fallback>
        </mc:AlternateContent>
      </w:r>
      <w:r w:rsidR="00F0602A">
        <w:rPr>
          <w:noProof/>
        </w:rPr>
        <mc:AlternateContent>
          <mc:Choice Requires="wps">
            <w:drawing>
              <wp:anchor distT="0" distB="0" distL="114300" distR="114300" simplePos="0" relativeHeight="251682816" behindDoc="0" locked="0" layoutInCell="1" allowOverlap="1" wp14:anchorId="586EB52E" wp14:editId="2A29914F">
                <wp:simplePos x="0" y="0"/>
                <wp:positionH relativeFrom="column">
                  <wp:posOffset>2457450</wp:posOffset>
                </wp:positionH>
                <wp:positionV relativeFrom="paragraph">
                  <wp:posOffset>4384040</wp:posOffset>
                </wp:positionV>
                <wp:extent cx="2218690" cy="266700"/>
                <wp:effectExtent l="9525" t="12065" r="19685" b="6413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266700"/>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20CF1" id="AutoShape 30" o:spid="_x0000_s1026" type="#_x0000_t34" style="position:absolute;margin-left:193.5pt;margin-top:345.2pt;width:174.7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" strokeweight="1.25pt">
                <v:stroke endarrow="block"/>
              </v:shape>
            </w:pict>
          </mc:Fallback>
        </mc:AlternateContent>
      </w:r>
      <w:r w:rsidR="00F0602A">
        <w:rPr>
          <w:noProof/>
        </w:rPr>
        <mc:AlternateContent>
          <mc:Choice Requires="wps">
            <w:drawing>
              <wp:anchor distT="0" distB="0" distL="114300" distR="114300" simplePos="0" relativeHeight="251669504" behindDoc="0" locked="0" layoutInCell="1" allowOverlap="1" wp14:anchorId="17B8573F" wp14:editId="15F7D3AC">
                <wp:simplePos x="0" y="0"/>
                <wp:positionH relativeFrom="column">
                  <wp:posOffset>84455</wp:posOffset>
                </wp:positionH>
                <wp:positionV relativeFrom="paragraph">
                  <wp:posOffset>3831590</wp:posOffset>
                </wp:positionV>
                <wp:extent cx="2372995" cy="1114425"/>
                <wp:effectExtent l="17780" t="12065" r="19050" b="1651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1114425"/>
                        </a:xfrm>
                        <a:prstGeom prst="diamond">
                          <a:avLst/>
                        </a:prstGeom>
                        <a:solidFill>
                          <a:srgbClr val="FFFFFF"/>
                        </a:solidFill>
                        <a:ln w="9525">
                          <a:solidFill>
                            <a:srgbClr val="000000"/>
                          </a:solidFill>
                          <a:miter lim="800000"/>
                          <a:headEnd/>
                          <a:tailEnd/>
                        </a:ln>
                      </wps:spPr>
                      <wps:txbx>
                        <w:txbxContent>
                          <w:p w14:paraId="48986880" w14:textId="77777777" w:rsidR="001D6B4B" w:rsidRPr="00FB6B53" w:rsidRDefault="001D6B4B" w:rsidP="00761D34">
                            <w:pPr>
                              <w:spacing w:before="0" w:after="0"/>
                              <w:jc w:val="center"/>
                              <w:rPr>
                                <w:sz w:val="22"/>
                                <w:szCs w:val="22"/>
                              </w:rPr>
                            </w:pPr>
                            <w:r w:rsidRPr="00FB6B53">
                              <w:rPr>
                                <w:sz w:val="22"/>
                                <w:szCs w:val="22"/>
                              </w:rPr>
                              <w:t>Is the value of the asset over $5,000?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8573F" id="AutoShape 17" o:spid="_x0000_s1041" type="#_x0000_t4" style="position:absolute;left:0;text-align:left;margin-left:6.65pt;margin-top:301.7pt;width:186.8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">
                <v:textbox>
                  <w:txbxContent>
                    <w:p w14:paraId="48986880" w14:textId="77777777" w:rsidR="001D6B4B" w:rsidRPr="00FB6B53" w:rsidRDefault="001D6B4B" w:rsidP="00761D34">
                      <w:pPr>
                        <w:spacing w:before="0" w:after="0"/>
                        <w:jc w:val="center"/>
                        <w:rPr>
                          <w:sz w:val="22"/>
                          <w:szCs w:val="22"/>
                        </w:rPr>
                      </w:pPr>
                      <w:r w:rsidRPr="00FB6B53">
                        <w:rPr>
                          <w:sz w:val="22"/>
                          <w:szCs w:val="22"/>
                        </w:rPr>
                        <w:t>Is the value of the asset over $5,000?</w:t>
                      </w:r>
                    </w:p>
                  </w:txbxContent>
                </v:textbox>
              </v:shape>
            </w:pict>
          </mc:Fallback>
        </mc:AlternateContent>
      </w:r>
      <w:r w:rsidR="00F0602A">
        <w:rPr>
          <w:noProof/>
        </w:rPr>
        <mc:AlternateContent>
          <mc:Choice Requires="wps">
            <w:drawing>
              <wp:anchor distT="0" distB="0" distL="114300" distR="114300" simplePos="0" relativeHeight="251654138" behindDoc="0" locked="0" layoutInCell="1" allowOverlap="1" wp14:anchorId="5F802168" wp14:editId="518E8E43">
                <wp:simplePos x="0" y="0"/>
                <wp:positionH relativeFrom="column">
                  <wp:posOffset>3535680</wp:posOffset>
                </wp:positionH>
                <wp:positionV relativeFrom="paragraph">
                  <wp:posOffset>4284345</wp:posOffset>
                </wp:positionV>
                <wp:extent cx="464185" cy="419100"/>
                <wp:effectExtent l="1905" t="0" r="635" b="190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3B90B" w14:textId="77777777" w:rsidR="001D6B4B" w:rsidRDefault="001D6B4B" w:rsidP="00761D34">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802168" id="Text Box 40" o:spid="_x0000_s1042" type="#_x0000_t202" style="position:absolute;left:0;text-align:left;margin-left:278.4pt;margin-top:337.35pt;width:36.55pt;height:33pt;z-index:25165413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" stroked="f">
                <v:textbox style="mso-fit-shape-to-text:t">
                  <w:txbxContent>
                    <w:p w14:paraId="54F3B90B" w14:textId="77777777" w:rsidR="001D6B4B" w:rsidRDefault="001D6B4B" w:rsidP="00761D34">
                      <w:r>
                        <w:t>No</w:t>
                      </w:r>
                    </w:p>
                  </w:txbxContent>
                </v:textbox>
              </v:shape>
            </w:pict>
          </mc:Fallback>
        </mc:AlternateContent>
      </w:r>
      <w:r w:rsidR="00F0602A">
        <w:rPr>
          <w:noProof/>
        </w:rPr>
        <mc:AlternateContent>
          <mc:Choice Requires="wps">
            <w:drawing>
              <wp:anchor distT="0" distB="0" distL="114300" distR="114300" simplePos="0" relativeHeight="251680768" behindDoc="0" locked="0" layoutInCell="1" allowOverlap="1" wp14:anchorId="64F4875D" wp14:editId="13F9F1A0">
                <wp:simplePos x="0" y="0"/>
                <wp:positionH relativeFrom="column">
                  <wp:posOffset>998855</wp:posOffset>
                </wp:positionH>
                <wp:positionV relativeFrom="paragraph">
                  <wp:posOffset>3552825</wp:posOffset>
                </wp:positionV>
                <wp:extent cx="556895" cy="635"/>
                <wp:effectExtent l="57785" t="17145" r="55880" b="2603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56895" cy="635"/>
                        </a:xfrm>
                        <a:prstGeom prst="bentConnector3">
                          <a:avLst>
                            <a:gd name="adj1" fmla="val 49944"/>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9312F" id="AutoShape 28" o:spid="_x0000_s1026" type="#_x0000_t34" style="position:absolute;margin-left:78.65pt;margin-top:279.75pt;width:43.85pt;height:.0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" adj="10788" strokeweight="1.25pt">
                <v:stroke endarrow="block"/>
              </v:shape>
            </w:pict>
          </mc:Fallback>
        </mc:AlternateContent>
      </w:r>
      <w:r w:rsidR="00F0602A">
        <w:rPr>
          <w:noProof/>
        </w:rPr>
        <mc:AlternateContent>
          <mc:Choice Requires="wps">
            <w:drawing>
              <wp:anchor distT="0" distB="0" distL="114300" distR="114300" simplePos="0" relativeHeight="251675648" behindDoc="0" locked="0" layoutInCell="1" allowOverlap="1" wp14:anchorId="76B73DBF" wp14:editId="6EC8B22F">
                <wp:simplePos x="0" y="0"/>
                <wp:positionH relativeFrom="column">
                  <wp:posOffset>2514600</wp:posOffset>
                </wp:positionH>
                <wp:positionV relativeFrom="paragraph">
                  <wp:posOffset>226695</wp:posOffset>
                </wp:positionV>
                <wp:extent cx="1266825" cy="0"/>
                <wp:effectExtent l="9525" t="64770" r="19050" b="5905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D9B2D" id="AutoShape 23" o:spid="_x0000_s1026" type="#_x0000_t32" style="position:absolute;margin-left:198pt;margin-top:17.85pt;width:99.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ftNgIAAF8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" strokeweight="1.25pt">
                <v:stroke endarrow="block"/>
              </v:shape>
            </w:pict>
          </mc:Fallback>
        </mc:AlternateContent>
      </w:r>
      <w:r w:rsidR="00F0602A">
        <w:rPr>
          <w:noProof/>
        </w:rPr>
        <mc:AlternateContent>
          <mc:Choice Requires="wps">
            <w:drawing>
              <wp:anchor distT="0" distB="0" distL="114300" distR="114300" simplePos="0" relativeHeight="251684864" behindDoc="0" locked="0" layoutInCell="1" allowOverlap="1" wp14:anchorId="2468A133" wp14:editId="5CFCD933">
                <wp:simplePos x="0" y="0"/>
                <wp:positionH relativeFrom="column">
                  <wp:posOffset>3800475</wp:posOffset>
                </wp:positionH>
                <wp:positionV relativeFrom="paragraph">
                  <wp:posOffset>3407410</wp:posOffset>
                </wp:positionV>
                <wp:extent cx="190500" cy="635"/>
                <wp:effectExtent l="56515" t="17145" r="57150" b="2095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635"/>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C6ED" id="AutoShape 32" o:spid="_x0000_s1026" type="#_x0000_t34" style="position:absolute;margin-left:299.25pt;margin-top:268.3pt;width:15pt;height:.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" strokeweight="1.25pt">
                <v:stroke endarrow="block"/>
              </v:shape>
            </w:pict>
          </mc:Fallback>
        </mc:AlternateContent>
      </w:r>
      <w:r w:rsidR="00F0602A">
        <w:rPr>
          <w:noProof/>
        </w:rPr>
        <mc:AlternateContent>
          <mc:Choice Requires="wps">
            <w:drawing>
              <wp:anchor distT="0" distB="0" distL="114300" distR="114300" simplePos="0" relativeHeight="251689984" behindDoc="0" locked="0" layoutInCell="1" allowOverlap="1" wp14:anchorId="6B2551CA" wp14:editId="11BFB18A">
                <wp:simplePos x="0" y="0"/>
                <wp:positionH relativeFrom="column">
                  <wp:posOffset>699770</wp:posOffset>
                </wp:positionH>
                <wp:positionV relativeFrom="paragraph">
                  <wp:posOffset>3398520</wp:posOffset>
                </wp:positionV>
                <wp:extent cx="464185" cy="419100"/>
                <wp:effectExtent l="4445" t="0" r="0" b="190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371E4" w14:textId="77777777" w:rsidR="001D6B4B" w:rsidRDefault="001D6B4B" w:rsidP="00761D34">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2551CA" id="Text Box 37" o:spid="_x0000_s1043" type="#_x0000_t202" style="position:absolute;left:0;text-align:left;margin-left:55.1pt;margin-top:267.6pt;width:36.55pt;height:33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" stroked="f">
                <v:textbox style="mso-fit-shape-to-text:t">
                  <w:txbxContent>
                    <w:p w14:paraId="3F5371E4" w14:textId="77777777" w:rsidR="001D6B4B" w:rsidRDefault="001D6B4B" w:rsidP="00761D34">
                      <w:r>
                        <w:t>Yes</w:t>
                      </w:r>
                    </w:p>
                  </w:txbxContent>
                </v:textbox>
              </v:shape>
            </w:pict>
          </mc:Fallback>
        </mc:AlternateContent>
      </w:r>
      <w:r w:rsidR="00F0602A">
        <w:rPr>
          <w:noProof/>
        </w:rPr>
        <mc:AlternateContent>
          <mc:Choice Requires="wps">
            <w:drawing>
              <wp:anchor distT="0" distB="0" distL="114300" distR="114300" simplePos="0" relativeHeight="251668480" behindDoc="0" locked="0" layoutInCell="1" allowOverlap="1" wp14:anchorId="020AB80E" wp14:editId="7043980C">
                <wp:simplePos x="0" y="0"/>
                <wp:positionH relativeFrom="column">
                  <wp:posOffset>189865</wp:posOffset>
                </wp:positionH>
                <wp:positionV relativeFrom="paragraph">
                  <wp:posOffset>2169795</wp:posOffset>
                </wp:positionV>
                <wp:extent cx="2172335" cy="1104900"/>
                <wp:effectExtent l="18415" t="17145" r="19050"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1104900"/>
                        </a:xfrm>
                        <a:prstGeom prst="diamond">
                          <a:avLst/>
                        </a:prstGeom>
                        <a:solidFill>
                          <a:srgbClr val="FFFFFF"/>
                        </a:solidFill>
                        <a:ln w="9525">
                          <a:solidFill>
                            <a:srgbClr val="000000"/>
                          </a:solidFill>
                          <a:miter lim="800000"/>
                          <a:headEnd/>
                          <a:tailEnd/>
                        </a:ln>
                      </wps:spPr>
                      <wps:txbx>
                        <w:txbxContent>
                          <w:p w14:paraId="15FA935C" w14:textId="77777777" w:rsidR="001D6B4B" w:rsidRDefault="001D6B4B" w:rsidP="00761D34">
                            <w:pPr>
                              <w:jc w:val="center"/>
                            </w:pPr>
                            <w:r>
                              <w:t>Is the asset moveable?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B80E" id="AutoShape 16" o:spid="_x0000_s1044" type="#_x0000_t4" style="position:absolute;left:0;text-align:left;margin-left:14.95pt;margin-top:170.85pt;width:171.0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">
                <v:textbox>
                  <w:txbxContent>
                    <w:p w14:paraId="15FA935C" w14:textId="77777777" w:rsidR="001D6B4B" w:rsidRDefault="001D6B4B" w:rsidP="00761D34">
                      <w:pPr>
                        <w:jc w:val="center"/>
                      </w:pPr>
                      <w:r>
                        <w:t>Is the asset moveable?</w:t>
                      </w:r>
                    </w:p>
                  </w:txbxContent>
                </v:textbox>
              </v:shape>
            </w:pict>
          </mc:Fallback>
        </mc:AlternateContent>
      </w:r>
      <w:r w:rsidR="00F0602A">
        <w:rPr>
          <w:noProof/>
        </w:rPr>
        <mc:AlternateContent>
          <mc:Choice Requires="wps">
            <w:drawing>
              <wp:anchor distT="0" distB="0" distL="114300" distR="114300" simplePos="0" relativeHeight="251679744" behindDoc="0" locked="0" layoutInCell="1" allowOverlap="1" wp14:anchorId="6C2CEF95" wp14:editId="12F01534">
                <wp:simplePos x="0" y="0"/>
                <wp:positionH relativeFrom="column">
                  <wp:posOffset>1209675</wp:posOffset>
                </wp:positionH>
                <wp:positionV relativeFrom="paragraph">
                  <wp:posOffset>2102485</wp:posOffset>
                </wp:positionV>
                <wp:extent cx="133350" cy="1270"/>
                <wp:effectExtent l="56515" t="17145" r="56515" b="2095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 cy="1270"/>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A14AF" id="AutoShape 27" o:spid="_x0000_s1026" type="#_x0000_t34" style="position:absolute;margin-left:95.25pt;margin-top:165.55pt;width:10.5pt;height:.1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" strokeweight="1.25pt">
                <v:stroke endarrow="block"/>
              </v:shape>
            </w:pict>
          </mc:Fallback>
        </mc:AlternateContent>
      </w:r>
      <w:r w:rsidR="00F0602A">
        <w:rPr>
          <w:noProof/>
        </w:rPr>
        <mc:AlternateContent>
          <mc:Choice Requires="wps">
            <w:drawing>
              <wp:anchor distT="0" distB="0" distL="114300" distR="114300" simplePos="0" relativeHeight="251655163" behindDoc="0" locked="0" layoutInCell="1" allowOverlap="1" wp14:anchorId="1F6A18ED" wp14:editId="64A51A81">
                <wp:simplePos x="0" y="0"/>
                <wp:positionH relativeFrom="column">
                  <wp:posOffset>785495</wp:posOffset>
                </wp:positionH>
                <wp:positionV relativeFrom="paragraph">
                  <wp:posOffset>1884045</wp:posOffset>
                </wp:positionV>
                <wp:extent cx="464185" cy="419100"/>
                <wp:effectExtent l="4445" t="0" r="0" b="190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3B92" w14:textId="77777777" w:rsidR="001D6B4B" w:rsidRDefault="001D6B4B" w:rsidP="00761D34">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6A18ED" id="Text Box 36" o:spid="_x0000_s1045" type="#_x0000_t202" style="position:absolute;left:0;text-align:left;margin-left:61.85pt;margin-top:148.35pt;width:36.55pt;height:33pt;z-index:2516551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" stroked="f">
                <v:textbox style="mso-fit-shape-to-text:t">
                  <w:txbxContent>
                    <w:p w14:paraId="4FE23B92" w14:textId="77777777" w:rsidR="001D6B4B" w:rsidRDefault="001D6B4B" w:rsidP="00761D34">
                      <w:r>
                        <w:t>Yes</w:t>
                      </w:r>
                    </w:p>
                  </w:txbxContent>
                </v:textbox>
              </v:shape>
            </w:pict>
          </mc:Fallback>
        </mc:AlternateContent>
      </w:r>
      <w:r w:rsidR="00F0602A">
        <w:rPr>
          <w:noProof/>
        </w:rPr>
        <mc:AlternateContent>
          <mc:Choice Requires="wps">
            <w:drawing>
              <wp:anchor distT="0" distB="0" distL="114300" distR="114300" simplePos="0" relativeHeight="251667456" behindDoc="0" locked="0" layoutInCell="1" allowOverlap="1" wp14:anchorId="0ACA0116" wp14:editId="128D3AF8">
                <wp:simplePos x="0" y="0"/>
                <wp:positionH relativeFrom="column">
                  <wp:posOffset>47625</wp:posOffset>
                </wp:positionH>
                <wp:positionV relativeFrom="paragraph">
                  <wp:posOffset>902970</wp:posOffset>
                </wp:positionV>
                <wp:extent cx="2457450" cy="1128395"/>
                <wp:effectExtent l="19050" t="17145" r="19050" b="69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128395"/>
                        </a:xfrm>
                        <a:prstGeom prst="diamond">
                          <a:avLst/>
                        </a:prstGeom>
                        <a:solidFill>
                          <a:srgbClr val="FFFFFF"/>
                        </a:solidFill>
                        <a:ln w="9525">
                          <a:solidFill>
                            <a:srgbClr val="000000"/>
                          </a:solidFill>
                          <a:miter lim="800000"/>
                          <a:headEnd/>
                          <a:tailEnd/>
                        </a:ln>
                      </wps:spPr>
                      <wps:txbx>
                        <w:txbxContent>
                          <w:p w14:paraId="6249A664" w14:textId="74F0F3EF" w:rsidR="001D6B4B" w:rsidRPr="00FB6B53" w:rsidRDefault="001D6B4B" w:rsidP="00761D34">
                            <w:pPr>
                              <w:spacing w:before="0" w:after="0"/>
                              <w:jc w:val="center"/>
                              <w:rPr>
                                <w:sz w:val="20"/>
                              </w:rPr>
                            </w:pPr>
                            <w:r w:rsidRPr="00FB6B53">
                              <w:rPr>
                                <w:sz w:val="20"/>
                              </w:rPr>
                              <w:t xml:space="preserve">Is the useful life of the asset </w:t>
                            </w:r>
                            <w:r w:rsidR="000E3647">
                              <w:rPr>
                                <w:sz w:val="20"/>
                              </w:rPr>
                              <w:t>at least 2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0116" id="AutoShape 15" o:spid="_x0000_s1046" type="#_x0000_t4" style="position:absolute;left:0;text-align:left;margin-left:3.75pt;margin-top:71.1pt;width:193.5pt;height:8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">
                <v:textbox>
                  <w:txbxContent>
                    <w:p w14:paraId="6249A664" w14:textId="74F0F3EF" w:rsidR="001D6B4B" w:rsidRPr="00FB6B53" w:rsidRDefault="001D6B4B" w:rsidP="00761D34">
                      <w:pPr>
                        <w:spacing w:before="0" w:after="0"/>
                        <w:jc w:val="center"/>
                        <w:rPr>
                          <w:sz w:val="20"/>
                        </w:rPr>
                      </w:pPr>
                      <w:r w:rsidRPr="00FB6B53">
                        <w:rPr>
                          <w:sz w:val="20"/>
                        </w:rPr>
                        <w:t xml:space="preserve">Is the useful life of the asset </w:t>
                      </w:r>
                      <w:r w:rsidR="000E3647">
                        <w:rPr>
                          <w:sz w:val="20"/>
                        </w:rPr>
                        <w:t>at least 2 years?</w:t>
                      </w:r>
                    </w:p>
                  </w:txbxContent>
                </v:textbox>
              </v:shape>
            </w:pict>
          </mc:Fallback>
        </mc:AlternateContent>
      </w:r>
      <w:r w:rsidR="00F0602A">
        <w:rPr>
          <w:noProof/>
        </w:rPr>
        <mc:AlternateContent>
          <mc:Choice Requires="wps">
            <w:drawing>
              <wp:anchor distT="0" distB="0" distL="114300" distR="114300" simplePos="0" relativeHeight="251659263" behindDoc="0" locked="0" layoutInCell="1" allowOverlap="1" wp14:anchorId="294E62B5" wp14:editId="3F2D8D14">
                <wp:simplePos x="0" y="0"/>
                <wp:positionH relativeFrom="column">
                  <wp:posOffset>699770</wp:posOffset>
                </wp:positionH>
                <wp:positionV relativeFrom="paragraph">
                  <wp:posOffset>617220</wp:posOffset>
                </wp:positionV>
                <wp:extent cx="464185" cy="419100"/>
                <wp:effectExtent l="4445" t="0" r="0" b="190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84190" w14:textId="77777777" w:rsidR="001D6B4B" w:rsidRDefault="001D6B4B" w:rsidP="00761D34">
                            <w: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E62B5" id="Text Box 34" o:spid="_x0000_s1047" type="#_x0000_t202" style="position:absolute;left:0;text-align:left;margin-left:55.1pt;margin-top:48.6pt;width:36.55pt;height:33pt;z-index:251659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" stroked="f">
                <v:textbox style="mso-fit-shape-to-text:t">
                  <w:txbxContent>
                    <w:p w14:paraId="7D384190" w14:textId="77777777" w:rsidR="001D6B4B" w:rsidRDefault="001D6B4B" w:rsidP="00761D34">
                      <w:r>
                        <w:t>Yes</w:t>
                      </w:r>
                    </w:p>
                  </w:txbxContent>
                </v:textbox>
              </v:shape>
            </w:pict>
          </mc:Fallback>
        </mc:AlternateContent>
      </w:r>
      <w:r w:rsidR="00F0602A">
        <w:rPr>
          <w:noProof/>
        </w:rPr>
        <mc:AlternateContent>
          <mc:Choice Requires="wps">
            <w:drawing>
              <wp:anchor distT="0" distB="0" distL="114300" distR="114300" simplePos="0" relativeHeight="251678720" behindDoc="0" locked="0" layoutInCell="1" allowOverlap="1" wp14:anchorId="518A0225" wp14:editId="36812307">
                <wp:simplePos x="0" y="0"/>
                <wp:positionH relativeFrom="column">
                  <wp:posOffset>1203325</wp:posOffset>
                </wp:positionH>
                <wp:positionV relativeFrom="paragraph">
                  <wp:posOffset>838200</wp:posOffset>
                </wp:positionV>
                <wp:extent cx="147955" cy="635"/>
                <wp:effectExtent l="57785" t="12065" r="55880" b="2095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7955" cy="635"/>
                        </a:xfrm>
                        <a:prstGeom prst="bentConnector3">
                          <a:avLst>
                            <a:gd name="adj1" fmla="val 49787"/>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78EE7" id="AutoShape 26" o:spid="_x0000_s1026" type="#_x0000_t34" style="position:absolute;margin-left:94.75pt;margin-top:66pt;width:11.65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" adj="10754" strokeweight="1.25pt">
                <v:stroke endarrow="block"/>
              </v:shape>
            </w:pict>
          </mc:Fallback>
        </mc:AlternateContent>
      </w:r>
      <w:r w:rsidR="0040473C">
        <w:rPr>
          <w:szCs w:val="24"/>
        </w:rPr>
        <w:br w:type="page"/>
      </w:r>
    </w:p>
    <w:p w14:paraId="7502B2EF" w14:textId="77777777" w:rsidR="0012040B" w:rsidRDefault="0040473C" w:rsidP="003B02BA">
      <w:pPr>
        <w:pStyle w:val="Heading2"/>
      </w:pPr>
      <w:bookmarkStart w:id="400" w:name="_Toc166149304"/>
      <w:r>
        <w:lastRenderedPageBreak/>
        <w:t>EXHIBIT 3.8 (B)</w:t>
      </w:r>
      <w:bookmarkEnd w:id="400"/>
    </w:p>
    <w:p w14:paraId="0397697F" w14:textId="77777777" w:rsidR="0040473C" w:rsidRPr="00971F97" w:rsidRDefault="0040473C" w:rsidP="0040473C">
      <w:pPr>
        <w:widowControl w:val="0"/>
        <w:tabs>
          <w:tab w:val="center" w:pos="4680"/>
        </w:tabs>
        <w:spacing w:before="240" w:after="240"/>
        <w:jc w:val="center"/>
        <w:rPr>
          <w:b/>
          <w:bCs/>
          <w:sz w:val="30"/>
          <w:szCs w:val="30"/>
          <w:vertAlign w:val="superscript"/>
        </w:rPr>
      </w:pPr>
      <w:r w:rsidRPr="00AD6D09">
        <w:rPr>
          <w:b/>
          <w:bCs/>
          <w:sz w:val="28"/>
          <w:szCs w:val="30"/>
        </w:rPr>
        <w:t>USEFUL LIVES FOR DEPRECIATION OF CAPITAL ASSETS</w:t>
      </w:r>
      <w:r w:rsidRPr="00971F97">
        <w:rPr>
          <w:rStyle w:val="FootnoteReference"/>
          <w:b/>
          <w:bCs/>
          <w:sz w:val="30"/>
          <w:szCs w:val="30"/>
        </w:rPr>
        <w:footnoteReference w:id="60"/>
      </w:r>
    </w:p>
    <w:p w14:paraId="62B6EB8D" w14:textId="77777777" w:rsidR="0040473C" w:rsidRPr="0088691E" w:rsidRDefault="0040473C" w:rsidP="0088691E">
      <w:pPr>
        <w:keepNext/>
        <w:spacing w:before="240" w:after="40"/>
        <w:rPr>
          <w:b/>
        </w:rPr>
      </w:pPr>
      <w:r w:rsidRPr="0088691E">
        <w:rPr>
          <w:b/>
        </w:rPr>
        <w:t>Depreciable Land Improvements:</w:t>
      </w:r>
    </w:p>
    <w:tbl>
      <w:tblPr>
        <w:tblStyle w:val="TableGrid"/>
        <w:tblW w:w="945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440"/>
      </w:tblGrid>
      <w:tr w:rsidR="0040473C" w:rsidRPr="00F26D0F" w14:paraId="02270446" w14:textId="77777777" w:rsidTr="00CD1EDD">
        <w:tc>
          <w:tcPr>
            <w:tcW w:w="8010" w:type="dxa"/>
          </w:tcPr>
          <w:p w14:paraId="1E7765D4"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Fencing</w:t>
            </w:r>
          </w:p>
        </w:tc>
        <w:tc>
          <w:tcPr>
            <w:tcW w:w="1440" w:type="dxa"/>
          </w:tcPr>
          <w:p w14:paraId="658A352E"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10-20 years</w:t>
            </w:r>
          </w:p>
        </w:tc>
      </w:tr>
      <w:tr w:rsidR="0040473C" w:rsidRPr="00F26D0F" w14:paraId="65953521" w14:textId="77777777" w:rsidTr="00CD1EDD">
        <w:tc>
          <w:tcPr>
            <w:tcW w:w="8010" w:type="dxa"/>
          </w:tcPr>
          <w:p w14:paraId="2DDBADC0"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Landscaping</w:t>
            </w:r>
          </w:p>
        </w:tc>
        <w:tc>
          <w:tcPr>
            <w:tcW w:w="1440" w:type="dxa"/>
          </w:tcPr>
          <w:p w14:paraId="5FA55AB2"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5-15 years</w:t>
            </w:r>
          </w:p>
        </w:tc>
      </w:tr>
      <w:tr w:rsidR="0040473C" w:rsidRPr="00F26D0F" w14:paraId="702504FE" w14:textId="77777777" w:rsidTr="00CD1EDD">
        <w:tc>
          <w:tcPr>
            <w:tcW w:w="8010" w:type="dxa"/>
          </w:tcPr>
          <w:p w14:paraId="2824245B"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Lighting</w:t>
            </w:r>
          </w:p>
        </w:tc>
        <w:tc>
          <w:tcPr>
            <w:tcW w:w="1440" w:type="dxa"/>
          </w:tcPr>
          <w:p w14:paraId="0D938A15"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15-20 years</w:t>
            </w:r>
          </w:p>
        </w:tc>
      </w:tr>
      <w:tr w:rsidR="0040473C" w:rsidRPr="00F26D0F" w14:paraId="59B355A2" w14:textId="77777777" w:rsidTr="00CD1EDD">
        <w:tc>
          <w:tcPr>
            <w:tcW w:w="8010" w:type="dxa"/>
          </w:tcPr>
          <w:p w14:paraId="573D7B69"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Parking Lots</w:t>
            </w:r>
          </w:p>
        </w:tc>
        <w:tc>
          <w:tcPr>
            <w:tcW w:w="1440" w:type="dxa"/>
          </w:tcPr>
          <w:p w14:paraId="6CB43DCA"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15-20 years</w:t>
            </w:r>
          </w:p>
        </w:tc>
      </w:tr>
      <w:tr w:rsidR="0040473C" w:rsidRPr="00F26D0F" w14:paraId="04FE14CB" w14:textId="77777777" w:rsidTr="00CD1EDD">
        <w:tc>
          <w:tcPr>
            <w:tcW w:w="8010" w:type="dxa"/>
          </w:tcPr>
          <w:p w14:paraId="4FE90D61"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Paving (Access Roadways and Walks)</w:t>
            </w:r>
          </w:p>
        </w:tc>
        <w:tc>
          <w:tcPr>
            <w:tcW w:w="1440" w:type="dxa"/>
          </w:tcPr>
          <w:p w14:paraId="3AB320CC"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10-15 years</w:t>
            </w:r>
          </w:p>
        </w:tc>
      </w:tr>
      <w:tr w:rsidR="0040473C" w:rsidRPr="00F26D0F" w14:paraId="2AEF4746" w14:textId="77777777" w:rsidTr="00CD1EDD">
        <w:tc>
          <w:tcPr>
            <w:tcW w:w="8010" w:type="dxa"/>
          </w:tcPr>
          <w:p w14:paraId="22706BB1"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Signs</w:t>
            </w:r>
          </w:p>
        </w:tc>
        <w:tc>
          <w:tcPr>
            <w:tcW w:w="1440" w:type="dxa"/>
          </w:tcPr>
          <w:p w14:paraId="4DE024C4"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10-15 years</w:t>
            </w:r>
          </w:p>
        </w:tc>
      </w:tr>
      <w:tr w:rsidR="0040473C" w:rsidRPr="00F26D0F" w14:paraId="27273534" w14:textId="77777777" w:rsidTr="00CD1EDD">
        <w:tc>
          <w:tcPr>
            <w:tcW w:w="8010" w:type="dxa"/>
          </w:tcPr>
          <w:p w14:paraId="388E1AA0"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Ports Authority Wando River Channel</w:t>
            </w:r>
          </w:p>
        </w:tc>
        <w:tc>
          <w:tcPr>
            <w:tcW w:w="1440" w:type="dxa"/>
          </w:tcPr>
          <w:p w14:paraId="3EA04FEE" w14:textId="77777777" w:rsidR="0040473C" w:rsidRPr="0088691E" w:rsidRDefault="0040473C" w:rsidP="0088691E">
            <w:pPr>
              <w:pStyle w:val="BlockText"/>
              <w:tabs>
                <w:tab w:val="left" w:pos="237"/>
              </w:tabs>
              <w:spacing w:before="40" w:after="60"/>
              <w:ind w:left="0" w:right="0"/>
              <w:jc w:val="left"/>
              <w:rPr>
                <w:b/>
                <w:sz w:val="20"/>
              </w:rPr>
            </w:pPr>
          </w:p>
        </w:tc>
      </w:tr>
      <w:tr w:rsidR="0040473C" w:rsidRPr="00F26D0F" w14:paraId="1143B26E" w14:textId="77777777" w:rsidTr="00CD1EDD">
        <w:tc>
          <w:tcPr>
            <w:tcW w:w="8010" w:type="dxa"/>
          </w:tcPr>
          <w:p w14:paraId="2630DA44"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ab/>
              <w:t>Dredging Project</w:t>
            </w:r>
          </w:p>
        </w:tc>
        <w:tc>
          <w:tcPr>
            <w:tcW w:w="1440" w:type="dxa"/>
          </w:tcPr>
          <w:p w14:paraId="3B323C65"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50 years</w:t>
            </w:r>
          </w:p>
        </w:tc>
      </w:tr>
      <w:tr w:rsidR="0040473C" w:rsidRPr="00F26D0F" w14:paraId="7C51FA96" w14:textId="77777777" w:rsidTr="00CD1EDD">
        <w:tc>
          <w:tcPr>
            <w:tcW w:w="8010" w:type="dxa"/>
          </w:tcPr>
          <w:p w14:paraId="6D20E13A"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Other Land Improvements (drainage systems, water/sewer systems, power lines, etc.)</w:t>
            </w:r>
          </w:p>
        </w:tc>
        <w:tc>
          <w:tcPr>
            <w:tcW w:w="1440" w:type="dxa"/>
          </w:tcPr>
          <w:p w14:paraId="216D61E9" w14:textId="77777777" w:rsidR="0040473C" w:rsidRPr="0088691E" w:rsidRDefault="0040473C" w:rsidP="0088691E">
            <w:pPr>
              <w:pStyle w:val="BlockText"/>
              <w:tabs>
                <w:tab w:val="left" w:pos="237"/>
              </w:tabs>
              <w:spacing w:before="40" w:after="60"/>
              <w:ind w:left="0" w:right="0"/>
              <w:jc w:val="left"/>
              <w:rPr>
                <w:b/>
                <w:sz w:val="20"/>
              </w:rPr>
            </w:pPr>
            <w:r w:rsidRPr="0088691E">
              <w:rPr>
                <w:b/>
                <w:sz w:val="20"/>
              </w:rPr>
              <w:t>3-60 years</w:t>
            </w:r>
          </w:p>
        </w:tc>
      </w:tr>
    </w:tbl>
    <w:p w14:paraId="70074F9D" w14:textId="77777777" w:rsidR="0040473C" w:rsidRPr="00F26D0F" w:rsidRDefault="0040473C" w:rsidP="0088691E">
      <w:pPr>
        <w:keepNext/>
        <w:spacing w:before="240" w:after="40"/>
        <w:rPr>
          <w:b/>
        </w:rPr>
      </w:pPr>
      <w:r w:rsidRPr="00F26D0F">
        <w:rPr>
          <w:b/>
        </w:rPr>
        <w:t>Buildings and Improvements: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50"/>
      </w:tblGrid>
      <w:tr w:rsidR="0040473C" w:rsidRPr="00F26D0F" w14:paraId="2622B6A3" w14:textId="77777777" w:rsidTr="00CD1EDD">
        <w:tc>
          <w:tcPr>
            <w:tcW w:w="7200" w:type="dxa"/>
          </w:tcPr>
          <w:p w14:paraId="63863571"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Hospitals</w:t>
            </w:r>
          </w:p>
        </w:tc>
        <w:tc>
          <w:tcPr>
            <w:tcW w:w="2250" w:type="dxa"/>
          </w:tcPr>
          <w:p w14:paraId="2EBD102F"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F26D0F" w14:paraId="12EAC8D6" w14:textId="77777777" w:rsidTr="00CD1EDD">
        <w:tc>
          <w:tcPr>
            <w:tcW w:w="7200" w:type="dxa"/>
          </w:tcPr>
          <w:p w14:paraId="1CC563B5"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Maintenance Facilities/Garages/Machine Shops</w:t>
            </w:r>
          </w:p>
        </w:tc>
        <w:tc>
          <w:tcPr>
            <w:tcW w:w="2250" w:type="dxa"/>
          </w:tcPr>
          <w:p w14:paraId="5B8EDE16"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20-40 years</w:t>
            </w:r>
          </w:p>
        </w:tc>
      </w:tr>
      <w:tr w:rsidR="0040473C" w:rsidRPr="00F26D0F" w14:paraId="1CA416A7" w14:textId="77777777" w:rsidTr="00CD1EDD">
        <w:tc>
          <w:tcPr>
            <w:tcW w:w="7200" w:type="dxa"/>
          </w:tcPr>
          <w:p w14:paraId="54278139"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Military Facilities (Armories)</w:t>
            </w:r>
          </w:p>
        </w:tc>
        <w:tc>
          <w:tcPr>
            <w:tcW w:w="2250" w:type="dxa"/>
          </w:tcPr>
          <w:p w14:paraId="0A954C7D"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F26D0F" w14:paraId="30C8F9DF" w14:textId="77777777" w:rsidTr="00CD1EDD">
        <w:tc>
          <w:tcPr>
            <w:tcW w:w="7200" w:type="dxa"/>
          </w:tcPr>
          <w:p w14:paraId="5E05C3D5"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Office Buildings</w:t>
            </w:r>
          </w:p>
        </w:tc>
        <w:tc>
          <w:tcPr>
            <w:tcW w:w="2250" w:type="dxa"/>
          </w:tcPr>
          <w:p w14:paraId="1E36A0F1"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40-50 years</w:t>
            </w:r>
          </w:p>
        </w:tc>
      </w:tr>
      <w:tr w:rsidR="0040473C" w:rsidRPr="00F26D0F" w14:paraId="485960AA" w14:textId="77777777" w:rsidTr="00CD1EDD">
        <w:tc>
          <w:tcPr>
            <w:tcW w:w="7200" w:type="dxa"/>
          </w:tcPr>
          <w:p w14:paraId="29269BF5"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Prison Facilities</w:t>
            </w:r>
          </w:p>
        </w:tc>
        <w:tc>
          <w:tcPr>
            <w:tcW w:w="2250" w:type="dxa"/>
          </w:tcPr>
          <w:p w14:paraId="4939C578"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F26D0F" w14:paraId="3B7BD428" w14:textId="77777777" w:rsidTr="00CD1EDD">
        <w:tc>
          <w:tcPr>
            <w:tcW w:w="7200" w:type="dxa"/>
          </w:tcPr>
          <w:p w14:paraId="27DE2BF5"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Recreational Buildings</w:t>
            </w:r>
          </w:p>
        </w:tc>
        <w:tc>
          <w:tcPr>
            <w:tcW w:w="2250" w:type="dxa"/>
          </w:tcPr>
          <w:p w14:paraId="11491373"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F26D0F" w14:paraId="06356D32" w14:textId="77777777" w:rsidTr="00CD1EDD">
        <w:tc>
          <w:tcPr>
            <w:tcW w:w="7200" w:type="dxa"/>
          </w:tcPr>
          <w:p w14:paraId="1886D0E9"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Residential Buildings</w:t>
            </w:r>
          </w:p>
        </w:tc>
        <w:tc>
          <w:tcPr>
            <w:tcW w:w="2250" w:type="dxa"/>
          </w:tcPr>
          <w:p w14:paraId="07092DF9"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20-30 years</w:t>
            </w:r>
          </w:p>
        </w:tc>
      </w:tr>
      <w:tr w:rsidR="0040473C" w:rsidRPr="00F26D0F" w14:paraId="3E7FC045" w14:textId="77777777" w:rsidTr="00CD1EDD">
        <w:tc>
          <w:tcPr>
            <w:tcW w:w="7200" w:type="dxa"/>
          </w:tcPr>
          <w:p w14:paraId="4AAAD26F"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Schools and Libraries</w:t>
            </w:r>
          </w:p>
        </w:tc>
        <w:tc>
          <w:tcPr>
            <w:tcW w:w="2250" w:type="dxa"/>
          </w:tcPr>
          <w:p w14:paraId="1657B9CE"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F26D0F" w14:paraId="334D2D1B" w14:textId="77777777" w:rsidTr="00CD1EDD">
        <w:tc>
          <w:tcPr>
            <w:tcW w:w="7200" w:type="dxa"/>
          </w:tcPr>
          <w:p w14:paraId="45FFE5E4"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Storage Facilities/Warehouses:</w:t>
            </w:r>
          </w:p>
        </w:tc>
        <w:tc>
          <w:tcPr>
            <w:tcW w:w="2250" w:type="dxa"/>
          </w:tcPr>
          <w:p w14:paraId="052338F8" w14:textId="77777777" w:rsidR="0040473C" w:rsidRPr="0088691E" w:rsidRDefault="0040473C" w:rsidP="0088691E">
            <w:pPr>
              <w:pStyle w:val="BlockText"/>
              <w:tabs>
                <w:tab w:val="left" w:pos="792"/>
              </w:tabs>
              <w:spacing w:before="40" w:after="60"/>
              <w:ind w:left="0" w:right="0"/>
              <w:jc w:val="left"/>
              <w:rPr>
                <w:b/>
                <w:bCs/>
                <w:sz w:val="20"/>
              </w:rPr>
            </w:pPr>
          </w:p>
        </w:tc>
      </w:tr>
      <w:tr w:rsidR="0040473C" w:rsidRPr="00F26D0F" w14:paraId="332FF08A" w14:textId="77777777" w:rsidTr="00CD1EDD">
        <w:tc>
          <w:tcPr>
            <w:tcW w:w="7200" w:type="dxa"/>
          </w:tcPr>
          <w:p w14:paraId="32C82253"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ab/>
              <w:t>Wooden Sheds/Metal Buildings</w:t>
            </w:r>
          </w:p>
        </w:tc>
        <w:tc>
          <w:tcPr>
            <w:tcW w:w="2250" w:type="dxa"/>
          </w:tcPr>
          <w:p w14:paraId="42D9A8DD"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10-20 years</w:t>
            </w:r>
          </w:p>
        </w:tc>
      </w:tr>
      <w:tr w:rsidR="0040473C" w:rsidRPr="00F26D0F" w14:paraId="4295120D" w14:textId="77777777" w:rsidTr="00CD1EDD">
        <w:tc>
          <w:tcPr>
            <w:tcW w:w="7200" w:type="dxa"/>
          </w:tcPr>
          <w:p w14:paraId="512BB832"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ab/>
              <w:t>Concrete/Masonry Buildings</w:t>
            </w:r>
          </w:p>
        </w:tc>
        <w:tc>
          <w:tcPr>
            <w:tcW w:w="2250" w:type="dxa"/>
          </w:tcPr>
          <w:p w14:paraId="15463CBE"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20-40 years</w:t>
            </w:r>
          </w:p>
        </w:tc>
      </w:tr>
      <w:tr w:rsidR="0040473C" w:rsidRPr="00F26D0F" w14:paraId="3B60EB65" w14:textId="77777777" w:rsidTr="00CD1EDD">
        <w:tc>
          <w:tcPr>
            <w:tcW w:w="7200" w:type="dxa"/>
          </w:tcPr>
          <w:p w14:paraId="6BE24C12"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Other Buildings</w:t>
            </w:r>
          </w:p>
        </w:tc>
        <w:tc>
          <w:tcPr>
            <w:tcW w:w="2250" w:type="dxa"/>
          </w:tcPr>
          <w:p w14:paraId="638D3617"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5-50 years</w:t>
            </w:r>
          </w:p>
        </w:tc>
      </w:tr>
      <w:tr w:rsidR="0040473C" w:rsidRPr="00F26D0F" w14:paraId="4A03E1D2" w14:textId="77777777" w:rsidTr="00CD1EDD">
        <w:tc>
          <w:tcPr>
            <w:tcW w:w="7200" w:type="dxa"/>
          </w:tcPr>
          <w:p w14:paraId="10334FC5"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Hydro-Electric Utility Plants</w:t>
            </w:r>
          </w:p>
        </w:tc>
        <w:tc>
          <w:tcPr>
            <w:tcW w:w="2250" w:type="dxa"/>
          </w:tcPr>
          <w:p w14:paraId="1B87F663"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55 years</w:t>
            </w:r>
          </w:p>
        </w:tc>
      </w:tr>
      <w:tr w:rsidR="0040473C" w:rsidRPr="00F26D0F" w14:paraId="6BD88999" w14:textId="77777777" w:rsidTr="00CD1EDD">
        <w:tc>
          <w:tcPr>
            <w:tcW w:w="7200" w:type="dxa"/>
          </w:tcPr>
          <w:p w14:paraId="11FB156D" w14:textId="77777777" w:rsidR="0040473C" w:rsidRPr="0088691E" w:rsidRDefault="0040473C" w:rsidP="0088691E">
            <w:pPr>
              <w:pStyle w:val="BlockText"/>
              <w:tabs>
                <w:tab w:val="left" w:pos="252"/>
              </w:tabs>
              <w:spacing w:before="40" w:after="60"/>
              <w:ind w:left="0" w:right="0"/>
              <w:jc w:val="left"/>
              <w:rPr>
                <w:b/>
                <w:bCs/>
                <w:sz w:val="20"/>
              </w:rPr>
            </w:pPr>
            <w:r w:rsidRPr="0088691E">
              <w:rPr>
                <w:b/>
                <w:bCs/>
                <w:sz w:val="20"/>
              </w:rPr>
              <w:t>Other Utility Plants</w:t>
            </w:r>
          </w:p>
        </w:tc>
        <w:tc>
          <w:tcPr>
            <w:tcW w:w="2250" w:type="dxa"/>
          </w:tcPr>
          <w:p w14:paraId="6871ABCB"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22-37 years</w:t>
            </w:r>
          </w:p>
        </w:tc>
      </w:tr>
    </w:tbl>
    <w:p w14:paraId="6D23A046" w14:textId="77777777" w:rsidR="0040473C" w:rsidRPr="00AD2303" w:rsidRDefault="0040473C" w:rsidP="0088691E">
      <w:pPr>
        <w:keepNext/>
        <w:spacing w:before="240" w:after="40"/>
        <w:rPr>
          <w:b/>
        </w:rPr>
      </w:pPr>
      <w:r w:rsidRPr="00AD2303">
        <w:rPr>
          <w:b/>
        </w:rPr>
        <w:t>Building Improvements:</w:t>
      </w:r>
    </w:p>
    <w:p w14:paraId="0AC89AA3" w14:textId="77777777" w:rsidR="0040473C" w:rsidRPr="00F26D0F" w:rsidRDefault="0040473C" w:rsidP="0040473C">
      <w:pPr>
        <w:widowControl w:val="0"/>
        <w:tabs>
          <w:tab w:val="left" w:pos="360"/>
          <w:tab w:val="center" w:pos="4680"/>
          <w:tab w:val="center" w:pos="7560"/>
        </w:tabs>
        <w:spacing w:line="200" w:lineRule="exact"/>
        <w:ind w:left="720"/>
        <w:rPr>
          <w:bCs/>
          <w:sz w:val="18"/>
        </w:rPr>
      </w:pPr>
      <w:r w:rsidRPr="00F26D0F">
        <w:rPr>
          <w:bCs/>
          <w:sz w:val="18"/>
        </w:rPr>
        <w:tab/>
        <w:t>See Buildings and Improvements under Key Terms for definition of capitalizable building improvements.  Useful life is to be determined individually.</w:t>
      </w:r>
    </w:p>
    <w:p w14:paraId="4CE126C5" w14:textId="77777777" w:rsidR="0040473C" w:rsidRPr="0088691E" w:rsidRDefault="0040473C" w:rsidP="0088691E">
      <w:pPr>
        <w:keepNext/>
        <w:spacing w:before="240" w:after="40"/>
        <w:rPr>
          <w:b/>
        </w:rPr>
      </w:pPr>
      <w:r w:rsidRPr="0088691E">
        <w:rPr>
          <w:b/>
        </w:rPr>
        <w:lastRenderedPageBreak/>
        <w:t>Intangible Assets: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50"/>
      </w:tblGrid>
      <w:tr w:rsidR="0040473C" w:rsidRPr="00971F97" w14:paraId="54F3D779" w14:textId="77777777" w:rsidTr="00CD1EDD">
        <w:tc>
          <w:tcPr>
            <w:tcW w:w="7200" w:type="dxa"/>
          </w:tcPr>
          <w:p w14:paraId="74993F4F" w14:textId="77777777" w:rsidR="0040473C" w:rsidRPr="0088691E" w:rsidRDefault="0040473C" w:rsidP="0088691E">
            <w:pPr>
              <w:pStyle w:val="BlockText"/>
              <w:tabs>
                <w:tab w:val="left" w:pos="252"/>
              </w:tabs>
              <w:spacing w:before="40" w:after="60"/>
              <w:ind w:left="0" w:right="0"/>
              <w:jc w:val="left"/>
              <w:rPr>
                <w:rFonts w:eastAsiaTheme="majorEastAsia" w:cstheme="majorBidi"/>
                <w:b/>
                <w:bCs/>
                <w:sz w:val="20"/>
              </w:rPr>
            </w:pPr>
            <w:r w:rsidRPr="0088691E">
              <w:rPr>
                <w:rFonts w:eastAsiaTheme="majorEastAsia" w:cstheme="majorBidi"/>
                <w:b/>
                <w:bCs/>
                <w:sz w:val="20"/>
              </w:rPr>
              <w:t>Computer Software:</w:t>
            </w:r>
          </w:p>
        </w:tc>
        <w:tc>
          <w:tcPr>
            <w:tcW w:w="2250" w:type="dxa"/>
          </w:tcPr>
          <w:p w14:paraId="361EC18C" w14:textId="77777777" w:rsidR="0040473C" w:rsidRPr="0088691E" w:rsidRDefault="0040473C" w:rsidP="0088691E">
            <w:pPr>
              <w:pStyle w:val="BlockText"/>
              <w:tabs>
                <w:tab w:val="left" w:pos="702"/>
              </w:tabs>
              <w:spacing w:before="40" w:after="60"/>
              <w:ind w:left="0" w:right="0"/>
              <w:jc w:val="left"/>
              <w:rPr>
                <w:rFonts w:eastAsiaTheme="majorEastAsia" w:cstheme="majorBidi"/>
                <w:b/>
                <w:bCs/>
                <w:sz w:val="20"/>
              </w:rPr>
            </w:pPr>
          </w:p>
        </w:tc>
      </w:tr>
      <w:tr w:rsidR="0040473C" w:rsidRPr="00971F97" w14:paraId="2BF82521" w14:textId="77777777" w:rsidTr="00CD1EDD">
        <w:tc>
          <w:tcPr>
            <w:tcW w:w="7200" w:type="dxa"/>
          </w:tcPr>
          <w:p w14:paraId="299E1EF7" w14:textId="77777777" w:rsidR="0040473C" w:rsidRPr="0088691E" w:rsidRDefault="0040473C" w:rsidP="0088691E">
            <w:pPr>
              <w:pStyle w:val="BlockText"/>
              <w:tabs>
                <w:tab w:val="left" w:pos="252"/>
              </w:tabs>
              <w:spacing w:before="40" w:after="60"/>
              <w:ind w:left="0" w:right="0"/>
              <w:jc w:val="left"/>
              <w:rPr>
                <w:rFonts w:eastAsiaTheme="majorEastAsia" w:cstheme="majorBidi"/>
                <w:b/>
                <w:bCs/>
                <w:sz w:val="20"/>
              </w:rPr>
            </w:pPr>
            <w:r w:rsidRPr="0088691E">
              <w:rPr>
                <w:rFonts w:eastAsiaTheme="majorEastAsia" w:cstheme="majorBidi"/>
                <w:b/>
                <w:bCs/>
                <w:sz w:val="20"/>
              </w:rPr>
              <w:tab/>
              <w:t>Externally Acquired</w:t>
            </w:r>
          </w:p>
        </w:tc>
        <w:tc>
          <w:tcPr>
            <w:tcW w:w="2250" w:type="dxa"/>
          </w:tcPr>
          <w:p w14:paraId="3216B3B0" w14:textId="77777777" w:rsidR="0040473C" w:rsidRPr="0088691E" w:rsidRDefault="0040473C" w:rsidP="0088691E">
            <w:pPr>
              <w:pStyle w:val="BlockText"/>
              <w:tabs>
                <w:tab w:val="left" w:pos="702"/>
              </w:tabs>
              <w:spacing w:before="40" w:after="60"/>
              <w:ind w:left="0" w:right="0"/>
              <w:jc w:val="left"/>
              <w:rPr>
                <w:rFonts w:eastAsiaTheme="majorEastAsia" w:cstheme="majorBidi"/>
                <w:b/>
                <w:bCs/>
                <w:sz w:val="20"/>
              </w:rPr>
            </w:pPr>
            <w:r w:rsidRPr="0088691E">
              <w:rPr>
                <w:rFonts w:eastAsiaTheme="majorEastAsia" w:cstheme="majorBidi"/>
                <w:b/>
                <w:bCs/>
                <w:sz w:val="20"/>
              </w:rPr>
              <w:tab/>
              <w:t>3 years</w:t>
            </w:r>
          </w:p>
        </w:tc>
      </w:tr>
      <w:tr w:rsidR="0040473C" w:rsidRPr="00971F97" w14:paraId="1BA75CAB" w14:textId="77777777" w:rsidTr="00CD1EDD">
        <w:tc>
          <w:tcPr>
            <w:tcW w:w="7200" w:type="dxa"/>
          </w:tcPr>
          <w:p w14:paraId="69B533AF" w14:textId="77777777" w:rsidR="0040473C" w:rsidRPr="0088691E" w:rsidRDefault="0040473C" w:rsidP="0088691E">
            <w:pPr>
              <w:pStyle w:val="BlockText"/>
              <w:tabs>
                <w:tab w:val="left" w:pos="252"/>
              </w:tabs>
              <w:spacing w:before="40" w:after="60"/>
              <w:ind w:left="0" w:right="0"/>
              <w:jc w:val="left"/>
              <w:rPr>
                <w:rFonts w:eastAsiaTheme="majorEastAsia" w:cstheme="majorBidi"/>
                <w:b/>
                <w:bCs/>
                <w:sz w:val="20"/>
              </w:rPr>
            </w:pPr>
            <w:r w:rsidRPr="0088691E">
              <w:rPr>
                <w:rFonts w:eastAsiaTheme="majorEastAsia" w:cstheme="majorBidi"/>
                <w:b/>
                <w:bCs/>
                <w:sz w:val="20"/>
              </w:rPr>
              <w:tab/>
              <w:t>Internally Generated</w:t>
            </w:r>
          </w:p>
        </w:tc>
        <w:tc>
          <w:tcPr>
            <w:tcW w:w="2250" w:type="dxa"/>
          </w:tcPr>
          <w:p w14:paraId="678CB277" w14:textId="77777777" w:rsidR="0040473C" w:rsidRPr="0088691E" w:rsidRDefault="0040473C" w:rsidP="0088691E">
            <w:pPr>
              <w:pStyle w:val="BlockText"/>
              <w:tabs>
                <w:tab w:val="left" w:pos="702"/>
              </w:tabs>
              <w:spacing w:before="40" w:after="60"/>
              <w:ind w:left="0" w:right="0"/>
              <w:jc w:val="left"/>
              <w:rPr>
                <w:rFonts w:eastAsiaTheme="majorEastAsia" w:cstheme="majorBidi"/>
                <w:b/>
                <w:bCs/>
                <w:sz w:val="20"/>
              </w:rPr>
            </w:pPr>
            <w:r w:rsidRPr="0088691E">
              <w:rPr>
                <w:rFonts w:eastAsiaTheme="majorEastAsia" w:cstheme="majorBidi"/>
                <w:b/>
                <w:bCs/>
                <w:sz w:val="20"/>
              </w:rPr>
              <w:tab/>
              <w:t>3 years</w:t>
            </w:r>
          </w:p>
        </w:tc>
      </w:tr>
    </w:tbl>
    <w:p w14:paraId="7E9AD300" w14:textId="77777777" w:rsidR="0040473C" w:rsidRDefault="0040473C" w:rsidP="0040473C">
      <w:pPr>
        <w:keepLines/>
        <w:tabs>
          <w:tab w:val="left" w:pos="360"/>
          <w:tab w:val="center" w:pos="5040"/>
          <w:tab w:val="center" w:pos="7560"/>
        </w:tabs>
        <w:ind w:left="288"/>
      </w:pPr>
      <w:r>
        <w:t>Other intangible assets to be determined individually based on type of intangible asset or life of related contract.</w:t>
      </w:r>
    </w:p>
    <w:p w14:paraId="149DA0C3" w14:textId="77777777" w:rsidR="0040473C" w:rsidRPr="0088691E" w:rsidRDefault="0040473C" w:rsidP="0088691E">
      <w:pPr>
        <w:keepNext/>
        <w:spacing w:before="240" w:after="40"/>
        <w:rPr>
          <w:b/>
        </w:rPr>
      </w:pPr>
      <w:r w:rsidRPr="0088691E">
        <w:rPr>
          <w:b/>
        </w:rPr>
        <w:t>Works of Art and Historical Treasures:</w:t>
      </w:r>
    </w:p>
    <w:p w14:paraId="7E2D12C2" w14:textId="77777777" w:rsidR="0040473C" w:rsidRDefault="0040473C" w:rsidP="0040473C">
      <w:pPr>
        <w:keepNext/>
        <w:keepLines/>
        <w:tabs>
          <w:tab w:val="left" w:pos="360"/>
          <w:tab w:val="center" w:pos="5040"/>
          <w:tab w:val="center" w:pos="7560"/>
        </w:tabs>
        <w:spacing w:after="80"/>
        <w:ind w:left="288"/>
      </w:pPr>
      <w:r>
        <w:t xml:space="preserve">To be determined individually if required to be capitalized and depreciated.  </w:t>
      </w:r>
    </w:p>
    <w:tbl>
      <w:tblPr>
        <w:tblStyle w:val="TableGrid"/>
        <w:tblW w:w="9432"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2"/>
        <w:gridCol w:w="2250"/>
      </w:tblGrid>
      <w:tr w:rsidR="0040473C" w:rsidRPr="0040473C" w14:paraId="0D13B2A0" w14:textId="77777777" w:rsidTr="00CD1EDD">
        <w:tc>
          <w:tcPr>
            <w:tcW w:w="7182" w:type="dxa"/>
          </w:tcPr>
          <w:p w14:paraId="223585FA" w14:textId="77777777" w:rsidR="0040473C" w:rsidRPr="0088691E" w:rsidRDefault="0040473C" w:rsidP="0088691E">
            <w:pPr>
              <w:pStyle w:val="BlockText"/>
              <w:spacing w:before="40" w:after="60"/>
              <w:ind w:left="0" w:right="0"/>
              <w:jc w:val="left"/>
              <w:rPr>
                <w:b/>
                <w:bCs/>
                <w:sz w:val="20"/>
              </w:rPr>
            </w:pPr>
            <w:r w:rsidRPr="0088691E">
              <w:rPr>
                <w:b/>
                <w:bCs/>
                <w:sz w:val="20"/>
              </w:rPr>
              <w:t>Patriots Point Naval Museum Exhibits</w:t>
            </w:r>
          </w:p>
        </w:tc>
        <w:tc>
          <w:tcPr>
            <w:tcW w:w="2250" w:type="dxa"/>
          </w:tcPr>
          <w:p w14:paraId="7A619811" w14:textId="77777777" w:rsidR="0040473C" w:rsidRPr="0088691E" w:rsidRDefault="0040473C" w:rsidP="0088691E">
            <w:pPr>
              <w:pStyle w:val="BlockText"/>
              <w:spacing w:before="40" w:after="60"/>
              <w:ind w:left="0" w:right="0"/>
              <w:jc w:val="left"/>
              <w:rPr>
                <w:b/>
                <w:bCs/>
                <w:sz w:val="20"/>
              </w:rPr>
            </w:pPr>
            <w:r w:rsidRPr="0088691E">
              <w:rPr>
                <w:b/>
                <w:bCs/>
                <w:sz w:val="20"/>
              </w:rPr>
              <w:tab/>
              <w:t>10-25 years</w:t>
            </w:r>
          </w:p>
        </w:tc>
      </w:tr>
    </w:tbl>
    <w:p w14:paraId="47B84DB6" w14:textId="77777777" w:rsidR="0040473C" w:rsidRPr="00F26D0F" w:rsidRDefault="0040473C" w:rsidP="0040473C">
      <w:pPr>
        <w:pStyle w:val="BodyText"/>
        <w:keepNext/>
        <w:widowControl w:val="0"/>
        <w:tabs>
          <w:tab w:val="left" w:pos="360"/>
          <w:tab w:val="center" w:pos="4680"/>
          <w:tab w:val="center" w:pos="7560"/>
        </w:tabs>
        <w:spacing w:before="240" w:after="60" w:line="220" w:lineRule="exact"/>
        <w:rPr>
          <w:b/>
        </w:rPr>
      </w:pPr>
      <w:r w:rsidRPr="0040473C">
        <w:rPr>
          <w:b/>
        </w:rPr>
        <w:t>Veh</w:t>
      </w:r>
      <w:r w:rsidRPr="00F26D0F">
        <w:rPr>
          <w:b/>
        </w:rPr>
        <w:t>icles:</w:t>
      </w:r>
    </w:p>
    <w:tbl>
      <w:tblPr>
        <w:tblStyle w:val="TableGrid"/>
        <w:tblW w:w="945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440"/>
      </w:tblGrid>
      <w:tr w:rsidR="0040473C" w:rsidRPr="00AD2303" w14:paraId="79CBE6D7" w14:textId="77777777" w:rsidTr="00CD1EDD">
        <w:tc>
          <w:tcPr>
            <w:tcW w:w="8010" w:type="dxa"/>
          </w:tcPr>
          <w:p w14:paraId="048A11B1" w14:textId="77777777" w:rsidR="0040473C" w:rsidRPr="0088691E" w:rsidRDefault="0040473C" w:rsidP="0088691E">
            <w:pPr>
              <w:pStyle w:val="BlockText"/>
              <w:spacing w:before="40" w:after="60"/>
              <w:ind w:left="0" w:right="0"/>
              <w:jc w:val="left"/>
              <w:rPr>
                <w:b/>
                <w:bCs/>
                <w:sz w:val="20"/>
              </w:rPr>
            </w:pPr>
            <w:r w:rsidRPr="0088691E">
              <w:rPr>
                <w:b/>
                <w:bCs/>
                <w:sz w:val="20"/>
              </w:rPr>
              <w:t>Airplanes and Helicopters</w:t>
            </w:r>
          </w:p>
        </w:tc>
        <w:tc>
          <w:tcPr>
            <w:tcW w:w="1440" w:type="dxa"/>
          </w:tcPr>
          <w:p w14:paraId="3FD56D38" w14:textId="77777777" w:rsidR="0040473C" w:rsidRPr="0088691E" w:rsidRDefault="0040473C" w:rsidP="0088691E">
            <w:pPr>
              <w:pStyle w:val="BlockText"/>
              <w:spacing w:before="40" w:after="60"/>
              <w:ind w:left="0" w:right="0"/>
              <w:jc w:val="left"/>
              <w:rPr>
                <w:b/>
                <w:bCs/>
                <w:sz w:val="20"/>
              </w:rPr>
            </w:pPr>
            <w:r w:rsidRPr="0088691E">
              <w:rPr>
                <w:b/>
                <w:bCs/>
                <w:sz w:val="20"/>
              </w:rPr>
              <w:t>15-20 years</w:t>
            </w:r>
          </w:p>
        </w:tc>
      </w:tr>
      <w:tr w:rsidR="0040473C" w:rsidRPr="00AD2303" w14:paraId="385281C5" w14:textId="77777777" w:rsidTr="00CD1EDD">
        <w:tc>
          <w:tcPr>
            <w:tcW w:w="8010" w:type="dxa"/>
          </w:tcPr>
          <w:p w14:paraId="1E63BCB8" w14:textId="77777777" w:rsidR="0040473C" w:rsidRPr="0088691E" w:rsidRDefault="0040473C" w:rsidP="0088691E">
            <w:pPr>
              <w:pStyle w:val="BlockText"/>
              <w:spacing w:before="40" w:after="60"/>
              <w:ind w:left="0" w:right="0"/>
              <w:jc w:val="left"/>
              <w:rPr>
                <w:b/>
                <w:bCs/>
                <w:sz w:val="20"/>
              </w:rPr>
            </w:pPr>
            <w:r w:rsidRPr="0088691E">
              <w:rPr>
                <w:b/>
                <w:bCs/>
                <w:sz w:val="20"/>
              </w:rPr>
              <w:t>Automobiles</w:t>
            </w:r>
          </w:p>
        </w:tc>
        <w:tc>
          <w:tcPr>
            <w:tcW w:w="1440" w:type="dxa"/>
          </w:tcPr>
          <w:p w14:paraId="734BA6FF" w14:textId="77777777" w:rsidR="0040473C" w:rsidRPr="0088691E" w:rsidRDefault="0040473C" w:rsidP="0088691E">
            <w:pPr>
              <w:pStyle w:val="BlockText"/>
              <w:spacing w:before="40" w:after="60"/>
              <w:ind w:left="0" w:right="0"/>
              <w:jc w:val="left"/>
              <w:rPr>
                <w:b/>
                <w:bCs/>
                <w:sz w:val="20"/>
              </w:rPr>
            </w:pPr>
            <w:r w:rsidRPr="0088691E">
              <w:rPr>
                <w:b/>
                <w:bCs/>
                <w:sz w:val="20"/>
              </w:rPr>
              <w:t>3-6 years</w:t>
            </w:r>
          </w:p>
        </w:tc>
      </w:tr>
      <w:tr w:rsidR="0040473C" w:rsidRPr="00AD2303" w14:paraId="4E1AC744" w14:textId="77777777" w:rsidTr="00CD1EDD">
        <w:tc>
          <w:tcPr>
            <w:tcW w:w="8010" w:type="dxa"/>
          </w:tcPr>
          <w:p w14:paraId="5049233B" w14:textId="77777777" w:rsidR="0040473C" w:rsidRPr="0088691E" w:rsidRDefault="0040473C" w:rsidP="0088691E">
            <w:pPr>
              <w:pStyle w:val="BlockText"/>
              <w:spacing w:before="40" w:after="60"/>
              <w:ind w:left="0" w:right="0"/>
              <w:jc w:val="left"/>
              <w:rPr>
                <w:b/>
                <w:bCs/>
                <w:sz w:val="20"/>
              </w:rPr>
            </w:pPr>
            <w:r w:rsidRPr="0088691E">
              <w:rPr>
                <w:b/>
                <w:bCs/>
                <w:sz w:val="20"/>
              </w:rPr>
              <w:t xml:space="preserve">Light </w:t>
            </w:r>
            <w:proofErr w:type="gramStart"/>
            <w:r w:rsidRPr="0088691E">
              <w:rPr>
                <w:b/>
                <w:bCs/>
                <w:sz w:val="20"/>
              </w:rPr>
              <w:t>General Purpose</w:t>
            </w:r>
            <w:proofErr w:type="gramEnd"/>
            <w:r w:rsidRPr="0088691E">
              <w:rPr>
                <w:b/>
                <w:bCs/>
                <w:sz w:val="20"/>
              </w:rPr>
              <w:t xml:space="preserve"> Trucks and Vans</w:t>
            </w:r>
          </w:p>
        </w:tc>
        <w:tc>
          <w:tcPr>
            <w:tcW w:w="1440" w:type="dxa"/>
          </w:tcPr>
          <w:p w14:paraId="20D95EE9" w14:textId="77777777" w:rsidR="0040473C" w:rsidRPr="0088691E" w:rsidRDefault="0040473C" w:rsidP="0088691E">
            <w:pPr>
              <w:pStyle w:val="BlockText"/>
              <w:spacing w:before="40" w:after="60"/>
              <w:ind w:left="0" w:right="0"/>
              <w:jc w:val="left"/>
              <w:rPr>
                <w:b/>
                <w:bCs/>
                <w:sz w:val="20"/>
              </w:rPr>
            </w:pPr>
            <w:r w:rsidRPr="0088691E">
              <w:rPr>
                <w:b/>
                <w:bCs/>
                <w:sz w:val="20"/>
              </w:rPr>
              <w:t>4-8 years</w:t>
            </w:r>
          </w:p>
        </w:tc>
      </w:tr>
      <w:tr w:rsidR="0040473C" w:rsidRPr="00AD2303" w14:paraId="69FD70CB" w14:textId="77777777" w:rsidTr="00CD1EDD">
        <w:tc>
          <w:tcPr>
            <w:tcW w:w="8010" w:type="dxa"/>
          </w:tcPr>
          <w:p w14:paraId="745B6580" w14:textId="77777777" w:rsidR="0040473C" w:rsidRPr="0088691E" w:rsidRDefault="0040473C" w:rsidP="0088691E">
            <w:pPr>
              <w:pStyle w:val="BlockText"/>
              <w:spacing w:before="40" w:after="60"/>
              <w:ind w:left="0" w:right="0"/>
              <w:jc w:val="left"/>
              <w:rPr>
                <w:b/>
                <w:bCs/>
                <w:sz w:val="20"/>
              </w:rPr>
            </w:pPr>
            <w:r w:rsidRPr="0088691E">
              <w:rPr>
                <w:b/>
                <w:bCs/>
                <w:sz w:val="20"/>
              </w:rPr>
              <w:t xml:space="preserve">Heavy </w:t>
            </w:r>
            <w:proofErr w:type="gramStart"/>
            <w:r w:rsidRPr="0088691E">
              <w:rPr>
                <w:b/>
                <w:bCs/>
                <w:sz w:val="20"/>
              </w:rPr>
              <w:t>General Purpose</w:t>
            </w:r>
            <w:proofErr w:type="gramEnd"/>
            <w:r w:rsidRPr="0088691E">
              <w:rPr>
                <w:b/>
                <w:bCs/>
                <w:sz w:val="20"/>
              </w:rPr>
              <w:t xml:space="preserve"> Trucks and Vans</w:t>
            </w:r>
          </w:p>
        </w:tc>
        <w:tc>
          <w:tcPr>
            <w:tcW w:w="1440" w:type="dxa"/>
          </w:tcPr>
          <w:p w14:paraId="7151CB9E" w14:textId="77777777" w:rsidR="0040473C" w:rsidRPr="0088691E" w:rsidRDefault="0040473C" w:rsidP="0088691E">
            <w:pPr>
              <w:pStyle w:val="BlockText"/>
              <w:spacing w:before="40" w:after="60"/>
              <w:ind w:left="0" w:right="0"/>
              <w:jc w:val="left"/>
              <w:rPr>
                <w:b/>
                <w:bCs/>
                <w:sz w:val="20"/>
              </w:rPr>
            </w:pPr>
            <w:r w:rsidRPr="0088691E">
              <w:rPr>
                <w:b/>
                <w:bCs/>
                <w:sz w:val="20"/>
              </w:rPr>
              <w:t>6-15 years</w:t>
            </w:r>
          </w:p>
        </w:tc>
      </w:tr>
      <w:tr w:rsidR="0040473C" w:rsidRPr="00AD2303" w14:paraId="46DE9FDA" w14:textId="77777777" w:rsidTr="00CD1EDD">
        <w:tc>
          <w:tcPr>
            <w:tcW w:w="8010" w:type="dxa"/>
          </w:tcPr>
          <w:p w14:paraId="3ADD1A73" w14:textId="77777777" w:rsidR="0040473C" w:rsidRPr="0088691E" w:rsidRDefault="0040473C" w:rsidP="0088691E">
            <w:pPr>
              <w:pStyle w:val="BlockText"/>
              <w:spacing w:before="40" w:after="60"/>
              <w:ind w:left="0" w:right="0"/>
              <w:jc w:val="left"/>
              <w:rPr>
                <w:b/>
                <w:bCs/>
                <w:sz w:val="20"/>
              </w:rPr>
            </w:pPr>
            <w:r w:rsidRPr="0088691E">
              <w:rPr>
                <w:b/>
                <w:bCs/>
                <w:sz w:val="20"/>
              </w:rPr>
              <w:t>Tractors</w:t>
            </w:r>
          </w:p>
        </w:tc>
        <w:tc>
          <w:tcPr>
            <w:tcW w:w="1440" w:type="dxa"/>
          </w:tcPr>
          <w:p w14:paraId="4F4C8D89" w14:textId="77777777" w:rsidR="0040473C" w:rsidRPr="0088691E" w:rsidRDefault="0040473C" w:rsidP="0088691E">
            <w:pPr>
              <w:pStyle w:val="BlockText"/>
              <w:spacing w:before="40" w:after="60"/>
              <w:ind w:left="0" w:right="0"/>
              <w:jc w:val="left"/>
              <w:rPr>
                <w:b/>
                <w:bCs/>
                <w:sz w:val="20"/>
              </w:rPr>
            </w:pPr>
            <w:r w:rsidRPr="0088691E">
              <w:rPr>
                <w:b/>
                <w:bCs/>
                <w:sz w:val="20"/>
              </w:rPr>
              <w:t>4-10 years</w:t>
            </w:r>
          </w:p>
        </w:tc>
      </w:tr>
      <w:tr w:rsidR="0040473C" w:rsidRPr="00AD2303" w14:paraId="46C20ED7" w14:textId="77777777" w:rsidTr="00CD1EDD">
        <w:tc>
          <w:tcPr>
            <w:tcW w:w="8010" w:type="dxa"/>
          </w:tcPr>
          <w:p w14:paraId="65A75B4A" w14:textId="77777777" w:rsidR="0040473C" w:rsidRPr="0088691E" w:rsidRDefault="0040473C" w:rsidP="0088691E">
            <w:pPr>
              <w:pStyle w:val="BlockText"/>
              <w:spacing w:before="40" w:after="60"/>
              <w:ind w:left="0" w:right="0"/>
              <w:jc w:val="left"/>
              <w:rPr>
                <w:b/>
                <w:bCs/>
                <w:sz w:val="20"/>
              </w:rPr>
            </w:pPr>
            <w:r w:rsidRPr="0088691E">
              <w:rPr>
                <w:b/>
                <w:bCs/>
                <w:sz w:val="20"/>
              </w:rPr>
              <w:t>Trailers</w:t>
            </w:r>
          </w:p>
        </w:tc>
        <w:tc>
          <w:tcPr>
            <w:tcW w:w="1440" w:type="dxa"/>
          </w:tcPr>
          <w:p w14:paraId="606611B4" w14:textId="77777777" w:rsidR="0040473C" w:rsidRPr="0088691E" w:rsidRDefault="0040473C" w:rsidP="0088691E">
            <w:pPr>
              <w:pStyle w:val="BlockText"/>
              <w:spacing w:before="40" w:after="60"/>
              <w:ind w:left="0" w:right="0"/>
              <w:jc w:val="left"/>
              <w:rPr>
                <w:b/>
                <w:bCs/>
                <w:sz w:val="20"/>
              </w:rPr>
            </w:pPr>
            <w:r w:rsidRPr="0088691E">
              <w:rPr>
                <w:b/>
                <w:bCs/>
                <w:sz w:val="20"/>
              </w:rPr>
              <w:t>6-10 years</w:t>
            </w:r>
          </w:p>
        </w:tc>
      </w:tr>
      <w:tr w:rsidR="0040473C" w:rsidRPr="00AD2303" w14:paraId="20235641" w14:textId="77777777" w:rsidTr="00CD1EDD">
        <w:tc>
          <w:tcPr>
            <w:tcW w:w="8010" w:type="dxa"/>
          </w:tcPr>
          <w:p w14:paraId="1DC02FE4" w14:textId="77777777" w:rsidR="0040473C" w:rsidRDefault="0040473C" w:rsidP="0088691E">
            <w:pPr>
              <w:pStyle w:val="BlockText"/>
              <w:spacing w:before="40" w:after="60"/>
              <w:ind w:left="0" w:right="0"/>
              <w:jc w:val="left"/>
              <w:rPr>
                <w:b/>
                <w:bCs/>
                <w:sz w:val="20"/>
              </w:rPr>
            </w:pPr>
            <w:r w:rsidRPr="0088691E">
              <w:rPr>
                <w:b/>
                <w:bCs/>
                <w:sz w:val="20"/>
              </w:rPr>
              <w:t>Boats</w:t>
            </w:r>
          </w:p>
          <w:p w14:paraId="70F9F2E0" w14:textId="77777777" w:rsidR="00B141AD" w:rsidRPr="0088691E" w:rsidRDefault="00B141AD" w:rsidP="0088691E">
            <w:pPr>
              <w:pStyle w:val="BlockText"/>
              <w:spacing w:before="40" w:after="60"/>
              <w:ind w:left="0" w:right="0"/>
              <w:jc w:val="left"/>
              <w:rPr>
                <w:b/>
                <w:bCs/>
                <w:sz w:val="20"/>
              </w:rPr>
            </w:pPr>
            <w:r>
              <w:rPr>
                <w:b/>
                <w:bCs/>
                <w:sz w:val="20"/>
              </w:rPr>
              <w:t>Buses</w:t>
            </w:r>
          </w:p>
        </w:tc>
        <w:tc>
          <w:tcPr>
            <w:tcW w:w="1440" w:type="dxa"/>
          </w:tcPr>
          <w:p w14:paraId="3FE76C4B" w14:textId="77777777" w:rsidR="00B141AD" w:rsidRDefault="0040473C" w:rsidP="0088691E">
            <w:pPr>
              <w:pStyle w:val="BlockText"/>
              <w:spacing w:before="40" w:after="60"/>
              <w:ind w:left="0" w:right="0"/>
              <w:jc w:val="left"/>
              <w:rPr>
                <w:b/>
                <w:bCs/>
                <w:sz w:val="20"/>
              </w:rPr>
            </w:pPr>
            <w:r w:rsidRPr="0088691E">
              <w:rPr>
                <w:b/>
                <w:bCs/>
                <w:sz w:val="20"/>
              </w:rPr>
              <w:t>5-10 years</w:t>
            </w:r>
          </w:p>
          <w:p w14:paraId="2C3248E5" w14:textId="77777777" w:rsidR="00B141AD" w:rsidRPr="0088691E" w:rsidRDefault="00B141AD" w:rsidP="0088691E">
            <w:pPr>
              <w:pStyle w:val="BlockText"/>
              <w:spacing w:before="40" w:after="60"/>
              <w:ind w:left="0" w:right="0"/>
              <w:jc w:val="left"/>
              <w:rPr>
                <w:b/>
                <w:bCs/>
                <w:sz w:val="20"/>
              </w:rPr>
            </w:pPr>
            <w:r>
              <w:rPr>
                <w:b/>
                <w:bCs/>
                <w:sz w:val="20"/>
              </w:rPr>
              <w:t>5-15 years</w:t>
            </w:r>
          </w:p>
        </w:tc>
      </w:tr>
    </w:tbl>
    <w:p w14:paraId="06B0C605" w14:textId="77777777" w:rsidR="0040473C" w:rsidRDefault="0040473C" w:rsidP="0040473C">
      <w:pPr>
        <w:pStyle w:val="BodyText"/>
        <w:keepNext/>
        <w:widowControl w:val="0"/>
        <w:tabs>
          <w:tab w:val="center" w:pos="4680"/>
        </w:tabs>
        <w:spacing w:before="240" w:after="60"/>
        <w:rPr>
          <w:b/>
        </w:rPr>
      </w:pPr>
      <w:r>
        <w:rPr>
          <w:b/>
        </w:rPr>
        <w:t>Machinery and Equipment:</w:t>
      </w:r>
    </w:p>
    <w:tbl>
      <w:tblPr>
        <w:tblStyle w:val="TableGrid"/>
        <w:tblW w:w="9432"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2"/>
        <w:gridCol w:w="2250"/>
      </w:tblGrid>
      <w:tr w:rsidR="0040473C" w:rsidRPr="00971F97" w14:paraId="55977D18" w14:textId="77777777" w:rsidTr="00CD1EDD">
        <w:tc>
          <w:tcPr>
            <w:tcW w:w="7182" w:type="dxa"/>
          </w:tcPr>
          <w:p w14:paraId="46A96F74" w14:textId="77777777" w:rsidR="0040473C" w:rsidRPr="0088691E" w:rsidRDefault="0040473C" w:rsidP="0088691E">
            <w:pPr>
              <w:pStyle w:val="BlockText"/>
              <w:tabs>
                <w:tab w:val="left" w:pos="249"/>
              </w:tabs>
              <w:spacing w:before="40" w:after="60"/>
              <w:ind w:left="0" w:right="0"/>
              <w:jc w:val="left"/>
              <w:rPr>
                <w:rFonts w:cstheme="majorBidi"/>
                <w:b/>
                <w:bCs/>
                <w:sz w:val="20"/>
              </w:rPr>
            </w:pPr>
            <w:r w:rsidRPr="0088691E">
              <w:rPr>
                <w:rFonts w:cstheme="majorBidi"/>
                <w:b/>
                <w:bCs/>
                <w:sz w:val="20"/>
              </w:rPr>
              <w:t>Computer Equipment (Hardware)</w:t>
            </w:r>
          </w:p>
        </w:tc>
        <w:tc>
          <w:tcPr>
            <w:tcW w:w="2250" w:type="dxa"/>
          </w:tcPr>
          <w:p w14:paraId="6D259379" w14:textId="77777777" w:rsidR="0040473C" w:rsidRPr="0088691E" w:rsidRDefault="0040473C" w:rsidP="0088691E">
            <w:pPr>
              <w:pStyle w:val="BlockText"/>
              <w:tabs>
                <w:tab w:val="left" w:pos="792"/>
              </w:tabs>
              <w:spacing w:before="40" w:after="60"/>
              <w:ind w:left="0" w:right="0"/>
              <w:jc w:val="left"/>
              <w:rPr>
                <w:rFonts w:cstheme="majorBidi"/>
                <w:b/>
                <w:bCs/>
                <w:sz w:val="20"/>
              </w:rPr>
            </w:pPr>
            <w:r w:rsidRPr="0088691E">
              <w:rPr>
                <w:b/>
                <w:bCs/>
                <w:sz w:val="20"/>
              </w:rPr>
              <w:tab/>
            </w:r>
            <w:r w:rsidRPr="0088691E">
              <w:rPr>
                <w:rFonts w:cstheme="majorBidi"/>
                <w:b/>
                <w:bCs/>
                <w:sz w:val="20"/>
              </w:rPr>
              <w:t>3-7 years</w:t>
            </w:r>
          </w:p>
        </w:tc>
      </w:tr>
      <w:tr w:rsidR="0040473C" w:rsidRPr="00971F97" w14:paraId="27A4548A" w14:textId="77777777" w:rsidTr="00CD1EDD">
        <w:tc>
          <w:tcPr>
            <w:tcW w:w="7182" w:type="dxa"/>
          </w:tcPr>
          <w:p w14:paraId="2FA6F08A"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Office Equipment (Copiers, Fax Machines, Paper Shredders, Filing Systems, etc.)</w:t>
            </w:r>
          </w:p>
        </w:tc>
        <w:tc>
          <w:tcPr>
            <w:tcW w:w="2250" w:type="dxa"/>
          </w:tcPr>
          <w:p w14:paraId="3266AA69"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3-10 years</w:t>
            </w:r>
          </w:p>
        </w:tc>
      </w:tr>
      <w:tr w:rsidR="0040473C" w:rsidRPr="00971F97" w14:paraId="3E1D6A32" w14:textId="77777777" w:rsidTr="00CD1EDD">
        <w:tc>
          <w:tcPr>
            <w:tcW w:w="7182" w:type="dxa"/>
          </w:tcPr>
          <w:p w14:paraId="664BF62A"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Office Furniture (Desks, Chairs, Bookcases, Cabinets, Credenzas, Tables, etc.)</w:t>
            </w:r>
          </w:p>
        </w:tc>
        <w:tc>
          <w:tcPr>
            <w:tcW w:w="2250" w:type="dxa"/>
          </w:tcPr>
          <w:p w14:paraId="0B2FA6C4"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10-20 years</w:t>
            </w:r>
          </w:p>
        </w:tc>
      </w:tr>
      <w:tr w:rsidR="0040473C" w:rsidRPr="00971F97" w14:paraId="7A8DD8BF" w14:textId="77777777" w:rsidTr="00CD1EDD">
        <w:tc>
          <w:tcPr>
            <w:tcW w:w="7182" w:type="dxa"/>
          </w:tcPr>
          <w:p w14:paraId="097FD476"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Other Furnishings and Equipment</w:t>
            </w:r>
          </w:p>
        </w:tc>
        <w:tc>
          <w:tcPr>
            <w:tcW w:w="2250" w:type="dxa"/>
          </w:tcPr>
          <w:p w14:paraId="0806739C"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2-25 years</w:t>
            </w:r>
          </w:p>
        </w:tc>
      </w:tr>
      <w:tr w:rsidR="0040473C" w:rsidRPr="00971F97" w14:paraId="0CF5EC99" w14:textId="77777777" w:rsidTr="00CD1EDD">
        <w:tc>
          <w:tcPr>
            <w:tcW w:w="7182" w:type="dxa"/>
          </w:tcPr>
          <w:p w14:paraId="2EC1169E"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Hospital Equipment</w:t>
            </w:r>
          </w:p>
        </w:tc>
        <w:tc>
          <w:tcPr>
            <w:tcW w:w="2250" w:type="dxa"/>
          </w:tcPr>
          <w:p w14:paraId="408D6F5C"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971F97" w14:paraId="3323F8C1" w14:textId="77777777" w:rsidTr="00CD1EDD">
        <w:tc>
          <w:tcPr>
            <w:tcW w:w="7182" w:type="dxa"/>
          </w:tcPr>
          <w:p w14:paraId="51826AB2"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Breeding Livestock</w:t>
            </w:r>
          </w:p>
        </w:tc>
        <w:tc>
          <w:tcPr>
            <w:tcW w:w="2250" w:type="dxa"/>
          </w:tcPr>
          <w:p w14:paraId="13440296"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Determine individually</w:t>
            </w:r>
          </w:p>
        </w:tc>
      </w:tr>
      <w:tr w:rsidR="0040473C" w:rsidRPr="00971F97" w14:paraId="1748B0DE" w14:textId="77777777" w:rsidTr="00CD1EDD">
        <w:tc>
          <w:tcPr>
            <w:tcW w:w="7182" w:type="dxa"/>
          </w:tcPr>
          <w:p w14:paraId="060AC9CD"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Assets for Storage of Petroleum Products</w:t>
            </w:r>
          </w:p>
        </w:tc>
        <w:tc>
          <w:tcPr>
            <w:tcW w:w="2250" w:type="dxa"/>
          </w:tcPr>
          <w:p w14:paraId="66EC6E19"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10-20 years</w:t>
            </w:r>
          </w:p>
        </w:tc>
      </w:tr>
      <w:tr w:rsidR="0040473C" w:rsidRPr="00971F97" w14:paraId="2CCE5210" w14:textId="77777777" w:rsidTr="00CD1EDD">
        <w:tc>
          <w:tcPr>
            <w:tcW w:w="7182" w:type="dxa"/>
          </w:tcPr>
          <w:p w14:paraId="5AB5EAD2"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Assets Used in Manufacture of Fabricated</w:t>
            </w:r>
          </w:p>
        </w:tc>
        <w:tc>
          <w:tcPr>
            <w:tcW w:w="2250" w:type="dxa"/>
          </w:tcPr>
          <w:p w14:paraId="0FFE60A5" w14:textId="77777777" w:rsidR="0040473C" w:rsidRPr="0088691E" w:rsidRDefault="0040473C" w:rsidP="0088691E">
            <w:pPr>
              <w:pStyle w:val="BlockText"/>
              <w:tabs>
                <w:tab w:val="left" w:pos="792"/>
              </w:tabs>
              <w:spacing w:before="40" w:after="60"/>
              <w:ind w:left="0" w:right="0"/>
              <w:jc w:val="left"/>
              <w:rPr>
                <w:b/>
                <w:bCs/>
                <w:sz w:val="20"/>
              </w:rPr>
            </w:pPr>
          </w:p>
        </w:tc>
      </w:tr>
      <w:tr w:rsidR="0040473C" w:rsidRPr="00971F97" w14:paraId="025CC345" w14:textId="77777777" w:rsidTr="00CD1EDD">
        <w:tc>
          <w:tcPr>
            <w:tcW w:w="7182" w:type="dxa"/>
          </w:tcPr>
          <w:p w14:paraId="022F0B87"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ab/>
              <w:t>Metal Products</w:t>
            </w:r>
          </w:p>
        </w:tc>
        <w:tc>
          <w:tcPr>
            <w:tcW w:w="2250" w:type="dxa"/>
          </w:tcPr>
          <w:p w14:paraId="61D9FA1B"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5-15 years</w:t>
            </w:r>
          </w:p>
        </w:tc>
      </w:tr>
      <w:tr w:rsidR="0040473C" w:rsidRPr="00971F97" w14:paraId="34EE24B5" w14:textId="77777777" w:rsidTr="00CD1EDD">
        <w:tc>
          <w:tcPr>
            <w:tcW w:w="7182" w:type="dxa"/>
          </w:tcPr>
          <w:p w14:paraId="3BBBCFEF"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Assets Used in Manufacture or Repair of</w:t>
            </w:r>
          </w:p>
        </w:tc>
        <w:tc>
          <w:tcPr>
            <w:tcW w:w="2250" w:type="dxa"/>
          </w:tcPr>
          <w:p w14:paraId="2F24E190" w14:textId="77777777" w:rsidR="0040473C" w:rsidRPr="0088691E" w:rsidRDefault="0040473C" w:rsidP="0088691E">
            <w:pPr>
              <w:pStyle w:val="BlockText"/>
              <w:tabs>
                <w:tab w:val="left" w:pos="792"/>
              </w:tabs>
              <w:spacing w:before="40" w:after="60"/>
              <w:ind w:left="0" w:right="0"/>
              <w:jc w:val="left"/>
              <w:rPr>
                <w:b/>
                <w:bCs/>
                <w:sz w:val="20"/>
              </w:rPr>
            </w:pPr>
          </w:p>
        </w:tc>
      </w:tr>
      <w:tr w:rsidR="0040473C" w:rsidRPr="00971F97" w14:paraId="3A0C99ED" w14:textId="77777777" w:rsidTr="00CD1EDD">
        <w:tc>
          <w:tcPr>
            <w:tcW w:w="7182" w:type="dxa"/>
          </w:tcPr>
          <w:p w14:paraId="2F0313F7"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ab/>
              <w:t>Furniture</w:t>
            </w:r>
          </w:p>
        </w:tc>
        <w:tc>
          <w:tcPr>
            <w:tcW w:w="2250" w:type="dxa"/>
          </w:tcPr>
          <w:p w14:paraId="2421A6E6"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5-15 years</w:t>
            </w:r>
          </w:p>
        </w:tc>
      </w:tr>
      <w:tr w:rsidR="0040473C" w:rsidRPr="00971F97" w14:paraId="006F61C6" w14:textId="77777777" w:rsidTr="00CD1EDD">
        <w:tc>
          <w:tcPr>
            <w:tcW w:w="7182" w:type="dxa"/>
          </w:tcPr>
          <w:p w14:paraId="1079E0CF"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Assets Used in Printing Activities</w:t>
            </w:r>
          </w:p>
        </w:tc>
        <w:tc>
          <w:tcPr>
            <w:tcW w:w="2250" w:type="dxa"/>
          </w:tcPr>
          <w:p w14:paraId="2EB21228"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5-15 years</w:t>
            </w:r>
          </w:p>
        </w:tc>
      </w:tr>
      <w:tr w:rsidR="0040473C" w:rsidRPr="00971F97" w14:paraId="4B1EE94C" w14:textId="77777777" w:rsidTr="00CD1EDD">
        <w:tc>
          <w:tcPr>
            <w:tcW w:w="7182" w:type="dxa"/>
          </w:tcPr>
          <w:p w14:paraId="4C06A938" w14:textId="77777777" w:rsidR="0040473C" w:rsidRPr="0088691E" w:rsidRDefault="0040473C" w:rsidP="0088691E">
            <w:pPr>
              <w:pStyle w:val="BlockText"/>
              <w:tabs>
                <w:tab w:val="left" w:pos="249"/>
              </w:tabs>
              <w:spacing w:before="40" w:after="60"/>
              <w:ind w:left="0" w:right="0"/>
              <w:jc w:val="left"/>
              <w:rPr>
                <w:b/>
                <w:bCs/>
                <w:sz w:val="20"/>
              </w:rPr>
            </w:pPr>
            <w:r w:rsidRPr="0088691E">
              <w:rPr>
                <w:b/>
                <w:bCs/>
                <w:sz w:val="20"/>
              </w:rPr>
              <w:t>Nurseries, Greenhouses, Related Equipment</w:t>
            </w:r>
          </w:p>
        </w:tc>
        <w:tc>
          <w:tcPr>
            <w:tcW w:w="2250" w:type="dxa"/>
          </w:tcPr>
          <w:p w14:paraId="36969D57" w14:textId="77777777" w:rsidR="0040473C" w:rsidRPr="0088691E" w:rsidRDefault="0040473C" w:rsidP="0088691E">
            <w:pPr>
              <w:pStyle w:val="BlockText"/>
              <w:tabs>
                <w:tab w:val="left" w:pos="792"/>
              </w:tabs>
              <w:spacing w:before="40" w:after="60"/>
              <w:ind w:left="0" w:right="0"/>
              <w:jc w:val="left"/>
              <w:rPr>
                <w:b/>
                <w:bCs/>
                <w:sz w:val="20"/>
              </w:rPr>
            </w:pPr>
            <w:r w:rsidRPr="0088691E">
              <w:rPr>
                <w:b/>
                <w:bCs/>
                <w:sz w:val="20"/>
              </w:rPr>
              <w:tab/>
              <w:t>10-15 years</w:t>
            </w:r>
          </w:p>
        </w:tc>
      </w:tr>
    </w:tbl>
    <w:p w14:paraId="14402736" w14:textId="2BDED48E" w:rsidR="00E56303" w:rsidRDefault="00DA68DB" w:rsidP="00B95A1D">
      <w:pPr>
        <w:spacing w:before="0" w:after="200" w:line="276" w:lineRule="auto"/>
        <w:jc w:val="left"/>
        <w:rPr>
          <w:szCs w:val="24"/>
        </w:rPr>
      </w:pPr>
      <w:r>
        <w:rPr>
          <w:szCs w:val="24"/>
        </w:rPr>
        <w:br w:type="page"/>
      </w:r>
    </w:p>
    <w:p w14:paraId="7C2D0586" w14:textId="77777777" w:rsidR="0012040B" w:rsidRDefault="0040473C" w:rsidP="003B02BA">
      <w:pPr>
        <w:pStyle w:val="Heading2"/>
      </w:pPr>
      <w:bookmarkStart w:id="401" w:name="_Toc166149305"/>
      <w:r w:rsidRPr="00E83C60">
        <w:lastRenderedPageBreak/>
        <w:t>EXHIBIT 3.12 (A)</w:t>
      </w:r>
      <w:bookmarkEnd w:id="401"/>
    </w:p>
    <w:p w14:paraId="6639EDBF" w14:textId="77777777" w:rsidR="00914D43" w:rsidRDefault="0080388B">
      <w:pPr>
        <w:spacing w:after="0"/>
        <w:jc w:val="center"/>
      </w:pPr>
      <w:r>
        <w:t>STATE OF SOUTH CAROLINA</w:t>
      </w:r>
    </w:p>
    <w:p w14:paraId="5762B331" w14:textId="1E8D1F35" w:rsidR="00914D43" w:rsidRDefault="0080388B" w:rsidP="00DA68DB">
      <w:pPr>
        <w:spacing w:before="0" w:after="0"/>
        <w:jc w:val="center"/>
      </w:pPr>
      <w:r>
        <w:t>ACCOUNTS PAYABLE DECISION TRE</w:t>
      </w:r>
      <w:r w:rsidR="00DA68DB">
        <w:t>E</w:t>
      </w:r>
    </w:p>
    <w:p w14:paraId="5457FF0A" w14:textId="3D54DC11" w:rsidR="00DA68DB" w:rsidRDefault="00DA68DB">
      <w:pPr>
        <w:spacing w:before="0" w:after="0"/>
        <w:jc w:val="center"/>
      </w:pPr>
      <w:r>
        <w:object w:dxaOrig="9849" w:dyaOrig="11439" w14:anchorId="4EDFF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5pt;height:435.25pt" o:ole="">
            <v:imagedata r:id="rId13" o:title=""/>
          </v:shape>
          <o:OLEObject Type="Embed" ProgID="Excel.Sheet.12" ShapeID="_x0000_i1025" DrawAspect="Content" ObjectID="_1810119052" r:id="rId14"/>
        </w:object>
      </w:r>
    </w:p>
    <w:p w14:paraId="008153D8" w14:textId="77777777" w:rsidR="0040473C" w:rsidRDefault="006318C3" w:rsidP="0088691E">
      <w:pPr>
        <w:ind w:right="-180"/>
        <w:jc w:val="center"/>
        <w:rPr>
          <w:szCs w:val="24"/>
        </w:rPr>
      </w:pPr>
      <w:r>
        <w:rPr>
          <w:noProof/>
        </w:rPr>
        <w:lastRenderedPageBreak/>
        <mc:AlternateContent>
          <mc:Choice Requires="wps">
            <w:drawing>
              <wp:anchor distT="0" distB="0" distL="114300" distR="114300" simplePos="0" relativeHeight="251695104" behindDoc="0" locked="0" layoutInCell="1" allowOverlap="1" wp14:anchorId="1329985D" wp14:editId="3DC6F2F0">
                <wp:simplePos x="0" y="0"/>
                <wp:positionH relativeFrom="column">
                  <wp:posOffset>1371600</wp:posOffset>
                </wp:positionH>
                <wp:positionV relativeFrom="paragraph">
                  <wp:posOffset>4092575</wp:posOffset>
                </wp:positionV>
                <wp:extent cx="1866900" cy="11658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65860"/>
                        </a:xfrm>
                        <a:prstGeom prst="rect">
                          <a:avLst/>
                        </a:prstGeom>
                        <a:solidFill>
                          <a:srgbClr val="FFFFFF"/>
                        </a:solidFill>
                        <a:ln w="9525">
                          <a:noFill/>
                          <a:miter lim="800000"/>
                          <a:headEnd/>
                          <a:tailEnd/>
                        </a:ln>
                      </wps:spPr>
                      <wps:txbx>
                        <w:txbxContent>
                          <w:p w14:paraId="707A2A94" w14:textId="77777777" w:rsidR="001D6B4B" w:rsidRPr="006318C3" w:rsidRDefault="001D6B4B" w:rsidP="006318C3">
                            <w:pPr>
                              <w:spacing w:before="0" w:after="0"/>
                              <w:jc w:val="center"/>
                              <w:rPr>
                                <w:sz w:val="22"/>
                                <w:szCs w:val="22"/>
                              </w:rPr>
                            </w:pPr>
                            <w:r w:rsidRPr="006318C3">
                              <w:rPr>
                                <w:sz w:val="22"/>
                                <w:szCs w:val="22"/>
                              </w:rPr>
                              <w:t>Goods or</w:t>
                            </w:r>
                          </w:p>
                          <w:p w14:paraId="19C058BE" w14:textId="77777777" w:rsidR="001D6B4B" w:rsidRPr="006318C3" w:rsidRDefault="001D6B4B" w:rsidP="006318C3">
                            <w:pPr>
                              <w:spacing w:before="0" w:after="0"/>
                              <w:jc w:val="center"/>
                              <w:rPr>
                                <w:sz w:val="22"/>
                                <w:szCs w:val="22"/>
                              </w:rPr>
                            </w:pPr>
                            <w:r w:rsidRPr="006318C3">
                              <w:rPr>
                                <w:sz w:val="22"/>
                                <w:szCs w:val="22"/>
                              </w:rPr>
                              <w:t>Services Received</w:t>
                            </w:r>
                          </w:p>
                          <w:p w14:paraId="031936F0" w14:textId="77777777" w:rsidR="001D6B4B" w:rsidRPr="006318C3" w:rsidRDefault="001D6B4B" w:rsidP="006318C3">
                            <w:pPr>
                              <w:spacing w:before="0" w:after="0"/>
                              <w:jc w:val="center"/>
                              <w:rPr>
                                <w:sz w:val="22"/>
                                <w:szCs w:val="22"/>
                              </w:rPr>
                            </w:pPr>
                            <w:r w:rsidRPr="006318C3">
                              <w:rPr>
                                <w:sz w:val="22"/>
                                <w:szCs w:val="22"/>
                              </w:rPr>
                              <w:t>on or before June 30?</w:t>
                            </w:r>
                          </w:p>
                          <w:p w14:paraId="795D345B" w14:textId="77777777" w:rsidR="001D6B4B" w:rsidRPr="006318C3" w:rsidRDefault="001D6B4B" w:rsidP="006318C3">
                            <w:pPr>
                              <w:spacing w:before="0" w:after="0"/>
                              <w:jc w:val="center"/>
                              <w:rPr>
                                <w:sz w:val="22"/>
                                <w:szCs w:val="22"/>
                              </w:rPr>
                            </w:pPr>
                            <w:r w:rsidRPr="006318C3">
                              <w:rPr>
                                <w:sz w:val="22"/>
                                <w:szCs w:val="22"/>
                              </w:rPr>
                              <w:t>OR</w:t>
                            </w:r>
                          </w:p>
                          <w:p w14:paraId="07AE767C" w14:textId="77777777" w:rsidR="001D6B4B" w:rsidRPr="006318C3" w:rsidRDefault="001D6B4B" w:rsidP="006318C3">
                            <w:pPr>
                              <w:spacing w:before="0" w:after="0"/>
                              <w:jc w:val="center"/>
                              <w:rPr>
                                <w:sz w:val="22"/>
                                <w:szCs w:val="22"/>
                              </w:rPr>
                            </w:pPr>
                            <w:r w:rsidRPr="006318C3">
                              <w:rPr>
                                <w:sz w:val="22"/>
                                <w:szCs w:val="22"/>
                              </w:rPr>
                              <w:t xml:space="preserve">Amounts Owed to Grantee/ </w:t>
                            </w:r>
                            <w:r>
                              <w:rPr>
                                <w:sz w:val="22"/>
                                <w:szCs w:val="22"/>
                              </w:rPr>
                              <w:t>Sub-</w:t>
                            </w:r>
                            <w:r w:rsidRPr="006318C3">
                              <w:rPr>
                                <w:sz w:val="22"/>
                                <w:szCs w:val="22"/>
                              </w:rPr>
                              <w:t>recipients as of June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9985D" id="Text Box 2" o:spid="_x0000_s1048" type="#_x0000_t202" style="position:absolute;left:0;text-align:left;margin-left:108pt;margin-top:322.25pt;width:147pt;height:9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" stroked="f">
                <v:textbox>
                  <w:txbxContent>
                    <w:p w14:paraId="707A2A94" w14:textId="77777777" w:rsidR="001D6B4B" w:rsidRPr="006318C3" w:rsidRDefault="001D6B4B" w:rsidP="006318C3">
                      <w:pPr>
                        <w:spacing w:before="0" w:after="0"/>
                        <w:jc w:val="center"/>
                        <w:rPr>
                          <w:sz w:val="22"/>
                          <w:szCs w:val="22"/>
                        </w:rPr>
                      </w:pPr>
                      <w:r w:rsidRPr="006318C3">
                        <w:rPr>
                          <w:sz w:val="22"/>
                          <w:szCs w:val="22"/>
                        </w:rPr>
                        <w:t>Goods or</w:t>
                      </w:r>
                    </w:p>
                    <w:p w14:paraId="19C058BE" w14:textId="77777777" w:rsidR="001D6B4B" w:rsidRPr="006318C3" w:rsidRDefault="001D6B4B" w:rsidP="006318C3">
                      <w:pPr>
                        <w:spacing w:before="0" w:after="0"/>
                        <w:jc w:val="center"/>
                        <w:rPr>
                          <w:sz w:val="22"/>
                          <w:szCs w:val="22"/>
                        </w:rPr>
                      </w:pPr>
                      <w:r w:rsidRPr="006318C3">
                        <w:rPr>
                          <w:sz w:val="22"/>
                          <w:szCs w:val="22"/>
                        </w:rPr>
                        <w:t>Services Received</w:t>
                      </w:r>
                    </w:p>
                    <w:p w14:paraId="031936F0" w14:textId="77777777" w:rsidR="001D6B4B" w:rsidRPr="006318C3" w:rsidRDefault="001D6B4B" w:rsidP="006318C3">
                      <w:pPr>
                        <w:spacing w:before="0" w:after="0"/>
                        <w:jc w:val="center"/>
                        <w:rPr>
                          <w:sz w:val="22"/>
                          <w:szCs w:val="22"/>
                        </w:rPr>
                      </w:pPr>
                      <w:r w:rsidRPr="006318C3">
                        <w:rPr>
                          <w:sz w:val="22"/>
                          <w:szCs w:val="22"/>
                        </w:rPr>
                        <w:t>on or before June 30?</w:t>
                      </w:r>
                    </w:p>
                    <w:p w14:paraId="795D345B" w14:textId="77777777" w:rsidR="001D6B4B" w:rsidRPr="006318C3" w:rsidRDefault="001D6B4B" w:rsidP="006318C3">
                      <w:pPr>
                        <w:spacing w:before="0" w:after="0"/>
                        <w:jc w:val="center"/>
                        <w:rPr>
                          <w:sz w:val="22"/>
                          <w:szCs w:val="22"/>
                        </w:rPr>
                      </w:pPr>
                      <w:r w:rsidRPr="006318C3">
                        <w:rPr>
                          <w:sz w:val="22"/>
                          <w:szCs w:val="22"/>
                        </w:rPr>
                        <w:t>OR</w:t>
                      </w:r>
                    </w:p>
                    <w:p w14:paraId="07AE767C" w14:textId="77777777" w:rsidR="001D6B4B" w:rsidRPr="006318C3" w:rsidRDefault="001D6B4B" w:rsidP="006318C3">
                      <w:pPr>
                        <w:spacing w:before="0" w:after="0"/>
                        <w:jc w:val="center"/>
                        <w:rPr>
                          <w:sz w:val="22"/>
                          <w:szCs w:val="22"/>
                        </w:rPr>
                      </w:pPr>
                      <w:r w:rsidRPr="006318C3">
                        <w:rPr>
                          <w:sz w:val="22"/>
                          <w:szCs w:val="22"/>
                        </w:rPr>
                        <w:t xml:space="preserve">Amounts Owed to Grantee/ </w:t>
                      </w:r>
                      <w:r>
                        <w:rPr>
                          <w:sz w:val="22"/>
                          <w:szCs w:val="22"/>
                        </w:rPr>
                        <w:t>Sub-</w:t>
                      </w:r>
                      <w:r w:rsidRPr="006318C3">
                        <w:rPr>
                          <w:sz w:val="22"/>
                          <w:szCs w:val="22"/>
                        </w:rPr>
                        <w:t>recipients as of June 30?</w:t>
                      </w:r>
                    </w:p>
                  </w:txbxContent>
                </v:textbox>
              </v:shape>
            </w:pict>
          </mc:Fallback>
        </mc:AlternateContent>
      </w:r>
      <w:r w:rsidR="00590665">
        <w:rPr>
          <w:noProof/>
        </w:rPr>
        <mc:AlternateContent>
          <mc:Choice Requires="wps">
            <w:drawing>
              <wp:anchor distT="0" distB="0" distL="114300" distR="114300" simplePos="0" relativeHeight="251693056" behindDoc="0" locked="0" layoutInCell="1" allowOverlap="1" wp14:anchorId="1462C226" wp14:editId="2BBEE0EE">
                <wp:simplePos x="0" y="0"/>
                <wp:positionH relativeFrom="column">
                  <wp:posOffset>1493520</wp:posOffset>
                </wp:positionH>
                <wp:positionV relativeFrom="paragraph">
                  <wp:posOffset>1524635</wp:posOffset>
                </wp:positionV>
                <wp:extent cx="1623060" cy="1043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043940"/>
                        </a:xfrm>
                        <a:prstGeom prst="rect">
                          <a:avLst/>
                        </a:prstGeom>
                        <a:solidFill>
                          <a:srgbClr val="FFFFFF"/>
                        </a:solidFill>
                        <a:ln w="9525">
                          <a:noFill/>
                          <a:miter lim="800000"/>
                          <a:headEnd/>
                          <a:tailEnd/>
                        </a:ln>
                      </wps:spPr>
                      <wps:txbx>
                        <w:txbxContent>
                          <w:p w14:paraId="778C0844" w14:textId="77777777" w:rsidR="001D6B4B" w:rsidRPr="00590665" w:rsidRDefault="001D6B4B" w:rsidP="00590665">
                            <w:pPr>
                              <w:spacing w:before="0" w:after="0"/>
                              <w:jc w:val="center"/>
                              <w:rPr>
                                <w:sz w:val="22"/>
                                <w:szCs w:val="22"/>
                              </w:rPr>
                            </w:pPr>
                            <w:r w:rsidRPr="00590665">
                              <w:rPr>
                                <w:sz w:val="22"/>
                                <w:szCs w:val="22"/>
                              </w:rPr>
                              <w:t>Payment Related</w:t>
                            </w:r>
                          </w:p>
                          <w:p w14:paraId="522606EC" w14:textId="77777777" w:rsidR="001D6B4B" w:rsidRPr="00590665" w:rsidRDefault="001D6B4B" w:rsidP="00590665">
                            <w:pPr>
                              <w:spacing w:before="0" w:after="0"/>
                              <w:jc w:val="center"/>
                              <w:rPr>
                                <w:sz w:val="22"/>
                                <w:szCs w:val="22"/>
                              </w:rPr>
                            </w:pPr>
                            <w:r w:rsidRPr="00590665">
                              <w:rPr>
                                <w:sz w:val="22"/>
                                <w:szCs w:val="22"/>
                              </w:rPr>
                              <w:t>to Payroll, Employer Contributions, or Claims included on Claims Reporting Packages?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2C226" id="_x0000_s1049" type="#_x0000_t202" style="position:absolute;left:0;text-align:left;margin-left:117.6pt;margin-top:120.05pt;width:127.8pt;height:8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" stroked="f">
                <v:textbox>
                  <w:txbxContent>
                    <w:p w14:paraId="778C0844" w14:textId="77777777" w:rsidR="001D6B4B" w:rsidRPr="00590665" w:rsidRDefault="001D6B4B" w:rsidP="00590665">
                      <w:pPr>
                        <w:spacing w:before="0" w:after="0"/>
                        <w:jc w:val="center"/>
                        <w:rPr>
                          <w:sz w:val="22"/>
                          <w:szCs w:val="22"/>
                        </w:rPr>
                      </w:pPr>
                      <w:r w:rsidRPr="00590665">
                        <w:rPr>
                          <w:sz w:val="22"/>
                          <w:szCs w:val="22"/>
                        </w:rPr>
                        <w:t>Payment Related</w:t>
                      </w:r>
                    </w:p>
                    <w:p w14:paraId="522606EC" w14:textId="77777777" w:rsidR="001D6B4B" w:rsidRPr="00590665" w:rsidRDefault="001D6B4B" w:rsidP="00590665">
                      <w:pPr>
                        <w:spacing w:before="0" w:after="0"/>
                        <w:jc w:val="center"/>
                        <w:rPr>
                          <w:sz w:val="22"/>
                          <w:szCs w:val="22"/>
                        </w:rPr>
                      </w:pPr>
                      <w:r w:rsidRPr="00590665">
                        <w:rPr>
                          <w:sz w:val="22"/>
                          <w:szCs w:val="22"/>
                        </w:rPr>
                        <w:t>to Payroll, Employer Contributions, or Claims included on Claims Reporting Packages?</w:t>
                      </w:r>
                    </w:p>
                  </w:txbxContent>
                </v:textbox>
              </v:shape>
            </w:pict>
          </mc:Fallback>
        </mc:AlternateContent>
      </w:r>
      <w:bookmarkStart w:id="402" w:name="_MON_1398598987"/>
      <w:bookmarkEnd w:id="402"/>
      <w:r w:rsidR="00E36A12">
        <w:object w:dxaOrig="9849" w:dyaOrig="11439" w14:anchorId="54C7DBFB">
          <v:shape id="_x0000_i1026" type="#_x0000_t75" style="width:470.8pt;height:534.75pt" o:ole="">
            <v:imagedata r:id="rId13" o:title=""/>
          </v:shape>
          <o:OLEObject Type="Embed" ProgID="Excel.Sheet.12" ShapeID="_x0000_i1026" DrawAspect="Content" ObjectID="_1810119053" r:id="rId15"/>
        </w:object>
      </w:r>
      <w:r w:rsidR="0040473C">
        <w:rPr>
          <w:szCs w:val="24"/>
        </w:rPr>
        <w:br w:type="page"/>
      </w:r>
    </w:p>
    <w:p w14:paraId="0E2D684F" w14:textId="28DE2A99" w:rsidR="00313725" w:rsidRDefault="00CD1EDD" w:rsidP="00313725">
      <w:pPr>
        <w:pStyle w:val="Heading1"/>
      </w:pPr>
      <w:bookmarkStart w:id="403" w:name="_Toc166149306"/>
      <w:r>
        <w:lastRenderedPageBreak/>
        <w:t>PART V</w:t>
      </w:r>
      <w:r w:rsidR="00D764B2">
        <w:t>I</w:t>
      </w:r>
      <w:r>
        <w:t xml:space="preserve"> EXAMPLES</w:t>
      </w:r>
      <w:bookmarkEnd w:id="403"/>
    </w:p>
    <w:p w14:paraId="35E997B2" w14:textId="6E14FC88" w:rsidR="00DE4780" w:rsidRDefault="00EB6CFC" w:rsidP="00645391">
      <w:pPr>
        <w:pStyle w:val="Heading1"/>
      </w:pPr>
      <w:bookmarkStart w:id="404" w:name="_Toc166149307"/>
      <w:r>
        <w:rPr>
          <w:noProof/>
        </w:rPr>
        <w:lastRenderedPageBreak/>
        <w:object w:dxaOrig="1440" w:dyaOrig="1440" w14:anchorId="124F1E01">
          <v:shape id="_x0000_s2052" type="#_x0000_t75" style="position:absolute;left:0;text-align:left;margin-left:23.25pt;margin-top:22.05pt;width:465pt;height:553.5pt;z-index:251660288;mso-position-horizontal-relative:text;mso-position-vertical-relative:text">
            <v:imagedata r:id="rId16" o:title=""/>
            <w10:wrap type="square" side="left"/>
          </v:shape>
          <o:OLEObject Type="Embed" ProgID="Excel.Sheet.8" ShapeID="_x0000_s2052" DrawAspect="Content" ObjectID="_1810119057" r:id="rId17"/>
        </w:object>
      </w:r>
      <w:r w:rsidR="00DE4780">
        <w:t>EXAMPLE 3.2(A) Tax Revenue Categorized</w:t>
      </w:r>
      <w:bookmarkEnd w:id="404"/>
    </w:p>
    <w:p w14:paraId="5D6D46E7" w14:textId="77777777" w:rsidR="00DE4780" w:rsidRDefault="00DE4780" w:rsidP="00DE4780">
      <w:pPr>
        <w:jc w:val="left"/>
      </w:pPr>
      <w:r>
        <w:br w:type="page"/>
      </w:r>
      <w:r>
        <w:object w:dxaOrig="9236" w:dyaOrig="11073" w14:anchorId="003EBC79">
          <v:shape id="_x0000_i1028" type="#_x0000_t75" style="width:461.35pt;height:554.2pt" o:ole="">
            <v:imagedata r:id="rId18" o:title=""/>
          </v:shape>
          <o:OLEObject Type="Embed" ProgID="Excel.Sheet.8" ShapeID="_x0000_i1028" DrawAspect="Content" ObjectID="_1810119054" r:id="rId19"/>
        </w:object>
      </w:r>
    </w:p>
    <w:p w14:paraId="4445F172" w14:textId="77777777" w:rsidR="00DE4780" w:rsidRDefault="00DE4780" w:rsidP="00DE4780">
      <w:pPr>
        <w:jc w:val="center"/>
      </w:pPr>
      <w:r>
        <w:br w:type="page"/>
      </w:r>
      <w:r>
        <w:object w:dxaOrig="9963" w:dyaOrig="10991" w14:anchorId="01D1129A">
          <v:shape id="_x0000_i1029" type="#_x0000_t75" style="width:498.15pt;height:549.55pt" o:ole="">
            <v:imagedata r:id="rId20" o:title=""/>
          </v:shape>
          <o:OLEObject Type="Embed" ProgID="Excel.Sheet.12" ShapeID="_x0000_i1029" DrawAspect="Content" ObjectID="_1810119055" r:id="rId21"/>
        </w:object>
      </w:r>
    </w:p>
    <w:p w14:paraId="4A4C80F9" w14:textId="77777777" w:rsidR="00DE4780" w:rsidRDefault="00DE4780" w:rsidP="00DE4780">
      <w:pPr>
        <w:jc w:val="center"/>
      </w:pPr>
      <w:r>
        <w:object w:dxaOrig="9963" w:dyaOrig="10991" w14:anchorId="4CC34A9B">
          <v:shape id="_x0000_i1030" type="#_x0000_t75" style="width:498.15pt;height:549.55pt" o:ole="">
            <v:imagedata r:id="rId22" o:title=""/>
          </v:shape>
          <o:OLEObject Type="Embed" ProgID="Excel.Sheet.12" ShapeID="_x0000_i1030" DrawAspect="Content" ObjectID="_1810119056" r:id="rId23"/>
        </w:object>
      </w:r>
    </w:p>
    <w:p w14:paraId="73FCB322" w14:textId="77777777" w:rsidR="00DE4780" w:rsidRDefault="00DE4780" w:rsidP="00DE4780">
      <w:pPr>
        <w:jc w:val="center"/>
      </w:pPr>
    </w:p>
    <w:p w14:paraId="40712805" w14:textId="77777777" w:rsidR="00DE4780" w:rsidRDefault="00DE4780" w:rsidP="00DE4780">
      <w:pPr>
        <w:pStyle w:val="BodyTextIndent"/>
      </w:pPr>
      <w:r>
        <w:br w:type="page"/>
      </w:r>
    </w:p>
    <w:p w14:paraId="50192DA5" w14:textId="77777777" w:rsidR="0012040B" w:rsidRDefault="00DE4780" w:rsidP="003B02BA">
      <w:pPr>
        <w:pStyle w:val="Heading2"/>
      </w:pPr>
      <w:bookmarkStart w:id="405" w:name="_Toc166149308"/>
      <w:r>
        <w:lastRenderedPageBreak/>
        <w:t>EXAMPLE 3.2(B) Transactions-Tax Revenue</w:t>
      </w:r>
      <w:bookmarkEnd w:id="405"/>
    </w:p>
    <w:p w14:paraId="70F8E702" w14:textId="77777777" w:rsidR="00DE4780" w:rsidRPr="00E23FEF" w:rsidRDefault="00DE4780" w:rsidP="00DE4780">
      <w:pPr>
        <w:pStyle w:val="Numbrd-Para"/>
        <w:ind w:left="0" w:firstLine="0"/>
        <w:jc w:val="center"/>
        <w:rPr>
          <w:szCs w:val="24"/>
        </w:rPr>
      </w:pPr>
      <w:r w:rsidRPr="00E23FEF">
        <w:rPr>
          <w:szCs w:val="24"/>
        </w:rPr>
        <w:t>EXAMPLE DERIVED TAX REVENUE GENERATION, RECORDING, AND REPORTING</w:t>
      </w:r>
    </w:p>
    <w:p w14:paraId="17C3304A" w14:textId="77777777" w:rsidR="00DE4780" w:rsidRDefault="00DE4780" w:rsidP="00DE4780">
      <w:pPr>
        <w:spacing w:after="40"/>
        <w:rPr>
          <w:b/>
          <w:bCs/>
        </w:rPr>
      </w:pPr>
      <w:r>
        <w:rPr>
          <w:b/>
          <w:bCs/>
        </w:rPr>
        <w:t>Individual Income Taxes:</w:t>
      </w:r>
    </w:p>
    <w:p w14:paraId="36204466" w14:textId="77777777" w:rsidR="00DE4780" w:rsidRPr="002B79C7" w:rsidRDefault="00DE4780" w:rsidP="00DE4780">
      <w:pPr>
        <w:spacing w:before="40"/>
      </w:pPr>
      <w:r w:rsidRPr="002B79C7">
        <w:t xml:space="preserve">The State imposes a 7 percent tax on personal income earned.  Employers are required to withhold taxes from payroll and remit withholdings </w:t>
      </w:r>
      <w:proofErr w:type="gramStart"/>
      <w:r w:rsidRPr="002B79C7">
        <w:t>on a monthly basis</w:t>
      </w:r>
      <w:proofErr w:type="gramEnd"/>
      <w:r w:rsidRPr="002B79C7">
        <w:t>.  Individuals with significant non-salary income, such as investment income, are required to make estimated tax payments on a quarterly basis.  In addition, individuals must file a tax return with the State by April 15 of the year following the calendar tax year and must pay the remaining tax owed or claim a refund.</w:t>
      </w:r>
    </w:p>
    <w:p w14:paraId="0EECDBC4" w14:textId="77777777" w:rsidR="00DE4780" w:rsidRPr="002B79C7" w:rsidRDefault="00DE4780" w:rsidP="00DE4780">
      <w:r w:rsidRPr="002B79C7">
        <w:t xml:space="preserve">Under GAAP, the State must recognize individual income tax revenues in the fiscal year in which the taxpayer earned the income, net of estimated refunds and estimated uncollectible amounts, provided the amounts are measurable and available </w:t>
      </w:r>
      <w:proofErr w:type="gramStart"/>
      <w:r w:rsidRPr="002B79C7">
        <w:t>at</w:t>
      </w:r>
      <w:proofErr w:type="gramEnd"/>
      <w:r w:rsidRPr="002B79C7">
        <w:t xml:space="preserve"> June 30.</w:t>
      </w:r>
    </w:p>
    <w:p w14:paraId="2FB7B875" w14:textId="77777777" w:rsidR="00DE4780" w:rsidRDefault="00DE4780" w:rsidP="00DE4780">
      <w:pPr>
        <w:pStyle w:val="Bullet10"/>
        <w:spacing w:before="20"/>
        <w:ind w:hanging="360"/>
      </w:pPr>
      <w:r>
        <w:t>o</w:t>
      </w:r>
      <w:r>
        <w:tab/>
      </w:r>
      <w:r>
        <w:rPr>
          <w:i/>
        </w:rPr>
        <w:t>Taxes Receivable</w:t>
      </w:r>
      <w:r>
        <w:t>.  Report Taxes Receivable for taxpayer earnings through June 30 including:</w:t>
      </w:r>
    </w:p>
    <w:p w14:paraId="362C3A92" w14:textId="77777777" w:rsidR="00DE4780" w:rsidRDefault="00DE4780" w:rsidP="00DE4780">
      <w:pPr>
        <w:pStyle w:val="Bullet2"/>
        <w:spacing w:before="20" w:after="20"/>
        <w:ind w:left="1080" w:hanging="360"/>
      </w:pPr>
      <w:r>
        <w:t>--</w:t>
      </w:r>
      <w:r>
        <w:tab/>
        <w:t xml:space="preserve">Payroll taxes withheld by employers on earnings through June 30 that </w:t>
      </w:r>
      <w:proofErr w:type="gramStart"/>
      <w:r>
        <w:t>employers</w:t>
      </w:r>
      <w:proofErr w:type="gramEnd"/>
      <w:r>
        <w:t xml:space="preserve"> remit to the State after June 30.</w:t>
      </w:r>
    </w:p>
    <w:p w14:paraId="59CFB340" w14:textId="77777777" w:rsidR="00DE4780" w:rsidRDefault="00DE4780" w:rsidP="00DE4780">
      <w:pPr>
        <w:pStyle w:val="Bullet2"/>
        <w:spacing w:before="20" w:after="20"/>
        <w:ind w:left="1080" w:hanging="360"/>
      </w:pPr>
      <w:r>
        <w:t>--</w:t>
      </w:r>
      <w:r>
        <w:tab/>
        <w:t>Individual tax declarations (estimated tax payments) due June 15, but not received by the State until after June 30.</w:t>
      </w:r>
    </w:p>
    <w:p w14:paraId="101C91A5" w14:textId="77777777" w:rsidR="00DE4780" w:rsidRDefault="00DE4780" w:rsidP="00DE4780">
      <w:pPr>
        <w:pStyle w:val="Bullet2"/>
        <w:spacing w:before="20" w:after="20"/>
        <w:ind w:left="1080" w:hanging="360"/>
      </w:pPr>
      <w:r>
        <w:t>--</w:t>
      </w:r>
      <w:r>
        <w:tab/>
        <w:t>Estimated amounts underpaid by taxpayers on earnings of the first six months of the calendar year that will be settled in the subsequent State fiscal year (that is, by April 15 of the next calendar year).  The estimate should be based on historical data relating to amounts paid with final tax returns.  Estimate the percentage of total collections that received with final returns.  Then apply this percentage to the collections for the six-month period January through   June.  Finally, adjust this estimated receivable for any significant known changes in the State's tax laws and/or withholding tables.</w:t>
      </w:r>
    </w:p>
    <w:p w14:paraId="330C0FEE" w14:textId="77777777" w:rsidR="00DE4780" w:rsidRDefault="00DE4780" w:rsidP="00DE4780">
      <w:pPr>
        <w:pStyle w:val="Bullet2"/>
        <w:spacing w:before="20"/>
        <w:ind w:left="1080" w:hanging="360"/>
      </w:pPr>
      <w:r>
        <w:t>--</w:t>
      </w:r>
      <w:r>
        <w:tab/>
        <w:t xml:space="preserve">Amounts taxpayers owe the State </w:t>
      </w:r>
      <w:proofErr w:type="gramStart"/>
      <w:r>
        <w:t>at</w:t>
      </w:r>
      <w:proofErr w:type="gramEnd"/>
      <w:r>
        <w:t xml:space="preserve"> June 30 as a result of delinquent filings, audits of returns, and other billings relating to either prior-year or current-year returns. </w:t>
      </w:r>
    </w:p>
    <w:p w14:paraId="70CBDEA5" w14:textId="77777777" w:rsidR="00DE4780" w:rsidRDefault="00DE4780" w:rsidP="00DE4780">
      <w:pPr>
        <w:pStyle w:val="Indent1"/>
        <w:keepNext/>
        <w:spacing w:before="60" w:after="20"/>
      </w:pPr>
      <w:r>
        <w:t>In its fund financial statements, the State will report the following for its Governmental funds:</w:t>
      </w:r>
    </w:p>
    <w:p w14:paraId="58296131" w14:textId="77777777" w:rsidR="00DE4780" w:rsidRDefault="00DE4780" w:rsidP="00DE4780">
      <w:pPr>
        <w:pStyle w:val="Bullet2"/>
        <w:keepNext/>
        <w:spacing w:before="20" w:after="20"/>
        <w:ind w:left="1080" w:hanging="360"/>
      </w:pPr>
      <w:r>
        <w:t>--</w:t>
      </w:r>
      <w:r>
        <w:tab/>
        <w:t xml:space="preserve">Current Taxes Receivable and Revenue for these amounts that are available </w:t>
      </w:r>
      <w:proofErr w:type="gramStart"/>
      <w:r>
        <w:t>at</w:t>
      </w:r>
      <w:proofErr w:type="gramEnd"/>
      <w:r>
        <w:t xml:space="preserve"> June 30.</w:t>
      </w:r>
    </w:p>
    <w:p w14:paraId="46827B61" w14:textId="77777777" w:rsidR="00DE4780" w:rsidRDefault="00DE4780" w:rsidP="00DE4780">
      <w:pPr>
        <w:pStyle w:val="Bullet2"/>
        <w:spacing w:before="20"/>
        <w:ind w:left="1080" w:hanging="360"/>
      </w:pPr>
      <w:r>
        <w:t>--</w:t>
      </w:r>
      <w:r>
        <w:tab/>
        <w:t xml:space="preserve">Non-Current Taxes Receivable and Deferred Revenue for these amounts that are </w:t>
      </w:r>
      <w:r>
        <w:rPr>
          <w:u w:val="words"/>
        </w:rPr>
        <w:t>not</w:t>
      </w:r>
      <w:r>
        <w:t xml:space="preserve"> available </w:t>
      </w:r>
      <w:proofErr w:type="gramStart"/>
      <w:r>
        <w:t>at</w:t>
      </w:r>
      <w:proofErr w:type="gramEnd"/>
      <w:r>
        <w:t xml:space="preserve"> June 30.</w:t>
      </w:r>
    </w:p>
    <w:p w14:paraId="16C40544" w14:textId="77777777" w:rsidR="00DE4780" w:rsidRDefault="00DE4780" w:rsidP="00DE4780">
      <w:pPr>
        <w:pStyle w:val="Bullet10"/>
        <w:ind w:hanging="360"/>
      </w:pPr>
      <w:r>
        <w:t>o</w:t>
      </w:r>
      <w:r>
        <w:tab/>
      </w:r>
      <w:r>
        <w:rPr>
          <w:i/>
        </w:rPr>
        <w:t>Allowance for Uncollectible Taxes</w:t>
      </w:r>
      <w:r>
        <w:t xml:space="preserve">.  Estimate and report an appropriate amount for an Allowance for Uncollectible Taxes.  Base the estimate on </w:t>
      </w:r>
      <w:proofErr w:type="gramStart"/>
      <w:r>
        <w:t>past experience</w:t>
      </w:r>
      <w:proofErr w:type="gramEnd"/>
      <w:r>
        <w:t>.</w:t>
      </w:r>
    </w:p>
    <w:p w14:paraId="790AD10D" w14:textId="33F0BEF7" w:rsidR="00DE4780" w:rsidRDefault="00DE4780" w:rsidP="00DE4780">
      <w:pPr>
        <w:pStyle w:val="Bullet10"/>
        <w:ind w:hanging="360"/>
      </w:pPr>
      <w:r>
        <w:t>o</w:t>
      </w:r>
      <w:r>
        <w:tab/>
      </w:r>
      <w:r>
        <w:rPr>
          <w:i/>
        </w:rPr>
        <w:t>Tax Refunds Payable</w:t>
      </w:r>
      <w:r>
        <w:t xml:space="preserve">.  Estimate amounts overpaid by taxpayers on earnings of the first six months of the calendar year that will be settled in the subsequent State fiscal year (that is, by April 15 of the next calendar year.)  Base the estimate on historical data relating to refunds.  Estimate the percentage of withholdings that you refund.  Then apply the percentage to the withholdings for the six-month period January through June.  Tax Refunds Payable also should include any adjustments for changes in the State's tax laws or to the withholding tables.  Also, there may be tax refunds in process </w:t>
      </w:r>
      <w:proofErr w:type="gramStart"/>
      <w:r>
        <w:t>at</w:t>
      </w:r>
      <w:proofErr w:type="gramEnd"/>
      <w:r>
        <w:t xml:space="preserve"> June </w:t>
      </w:r>
      <w:r>
        <w:lastRenderedPageBreak/>
        <w:t>30 that relate to previous years' returns.  The State's policy is to report Tax Refunds Payable for these amounts as well.</w:t>
      </w:r>
    </w:p>
    <w:p w14:paraId="2F02C746" w14:textId="77777777" w:rsidR="0012040B" w:rsidRDefault="00DE4780" w:rsidP="003B02BA">
      <w:pPr>
        <w:pStyle w:val="Heading2"/>
      </w:pPr>
      <w:bookmarkStart w:id="406" w:name="_Toc166149309"/>
      <w:r>
        <w:t>EXAMPLE 3.3(A) Transactional - Grants</w:t>
      </w:r>
      <w:bookmarkEnd w:id="406"/>
    </w:p>
    <w:p w14:paraId="18A3A378" w14:textId="77777777" w:rsidR="00DE4780" w:rsidRPr="000E1762" w:rsidRDefault="00DE4780" w:rsidP="00DE4780">
      <w:pPr>
        <w:spacing w:after="20"/>
        <w:rPr>
          <w:u w:val="single"/>
        </w:rPr>
      </w:pPr>
      <w:r w:rsidRPr="000E1762">
        <w:rPr>
          <w:u w:val="single"/>
        </w:rPr>
        <w:t>Grant Receivable Illustrative Example</w:t>
      </w:r>
    </w:p>
    <w:p w14:paraId="58C300AB" w14:textId="77777777" w:rsidR="00DE4780" w:rsidRDefault="00DE4780" w:rsidP="00DE4780">
      <w:pPr>
        <w:spacing w:before="20" w:after="80"/>
      </w:pPr>
      <w:r>
        <w:t>The South Carolina Department of Commerce has been awarded a $5,000,000 grant to promote economic development in rural counties.  The grant terms specify that, in order to qualify for funding, grant recipients</w:t>
      </w:r>
      <w:proofErr w:type="gramStart"/>
      <w:r>
        <w:t>:  (</w:t>
      </w:r>
      <w:proofErr w:type="gramEnd"/>
      <w:r>
        <w:t xml:space="preserve">1) must be State governments, and (2) must first incur allowable costs.  The grant award is for the period October 1, 20X0, through September 30, 20X1.  </w:t>
      </w:r>
    </w:p>
    <w:p w14:paraId="4BFD844D" w14:textId="77777777" w:rsidR="00DE4780" w:rsidRDefault="00DE4780" w:rsidP="00DE4780">
      <w:pPr>
        <w:spacing w:before="80"/>
      </w:pPr>
      <w:r>
        <w:t xml:space="preserve">As of June 30, 20X1, Commerce has incurred costs of $3,500,000 and has received $2,500,000 in reimbursements.  Commerce anticipates receiving all remaining reimbursements within the next fiscal year.  Commerce records this grant in a Governmental fund. </w:t>
      </w:r>
    </w:p>
    <w:p w14:paraId="57C95231" w14:textId="77777777" w:rsidR="00DE4780" w:rsidRDefault="00DE4780" w:rsidP="00DE4780">
      <w:pPr>
        <w:tabs>
          <w:tab w:val="left" w:pos="900"/>
        </w:tabs>
        <w:rPr>
          <w:b/>
          <w:bCs/>
        </w:rPr>
      </w:pPr>
      <w:r>
        <w:rPr>
          <w:b/>
          <w:bCs/>
        </w:rPr>
        <w:t>Step 1:</w:t>
      </w:r>
      <w:r>
        <w:rPr>
          <w:b/>
          <w:bCs/>
        </w:rPr>
        <w:tab/>
        <w:t>Identify and evaluate grant eligibility requirements.</w:t>
      </w:r>
    </w:p>
    <w:p w14:paraId="616301EF" w14:textId="77777777" w:rsidR="00DE4780" w:rsidRDefault="00DE4780" w:rsidP="00DE4780">
      <w:pPr>
        <w:spacing w:before="40" w:after="40"/>
      </w:pPr>
      <w:r>
        <w:t xml:space="preserve">In this case three eligibility requirements exist:  </w:t>
      </w:r>
    </w:p>
    <w:p w14:paraId="2E4E0963" w14:textId="77777777" w:rsidR="00DE4780" w:rsidRDefault="00DE4780" w:rsidP="00DE4780">
      <w:pPr>
        <w:spacing w:before="40" w:after="40"/>
      </w:pPr>
      <w:r>
        <w:rPr>
          <w:i/>
          <w:iCs/>
        </w:rPr>
        <w:t>Required characteristic of the recipient</w:t>
      </w:r>
      <w:r>
        <w:t xml:space="preserve">.  The grant regulations require that recipients are State governments.  The South Carolina Department of Commerce is a </w:t>
      </w:r>
      <w:proofErr w:type="gramStart"/>
      <w:r>
        <w:t>State</w:t>
      </w:r>
      <w:proofErr w:type="gramEnd"/>
      <w:r>
        <w:t xml:space="preserve"> government agency and, therefore, has met this requirement.</w:t>
      </w:r>
    </w:p>
    <w:p w14:paraId="02CAF376" w14:textId="77777777" w:rsidR="00DE4780" w:rsidRDefault="00DE4780" w:rsidP="00DE4780">
      <w:pPr>
        <w:spacing w:before="40" w:after="40"/>
      </w:pPr>
      <w:r>
        <w:rPr>
          <w:i/>
          <w:iCs/>
        </w:rPr>
        <w:t xml:space="preserve">Time requirements.  </w:t>
      </w:r>
      <w:r>
        <w:t>The grant award specifies that the grant funds are available for expenditures from October 1, 20X0, through September 30, 20X1.  We are computing the Grant Receivable or Deferred Revenue as of June 30, 20X1; therefore, we are within the specified period.  This eligibility requirement has been met.</w:t>
      </w:r>
    </w:p>
    <w:p w14:paraId="3EEA96D6" w14:textId="77777777" w:rsidR="00DE4780" w:rsidRDefault="00DE4780" w:rsidP="00DE4780">
      <w:pPr>
        <w:spacing w:before="40"/>
      </w:pPr>
      <w:r>
        <w:rPr>
          <w:i/>
          <w:iCs/>
        </w:rPr>
        <w:t>Reimbursements</w:t>
      </w:r>
      <w:r>
        <w:t>.  The grant terms specify that recipients must first incur allowable costs to qualify for funding (i.e., reimbursement-basis grant).  As of June 30, 20X1, the agency has incurred costs of $3,500,000.  This is the maximum amount of revenue that may be recognized for this grant from the grant award date through June 30, 20X1.  Because this grant is recorded in Governmental funds, we must analyze the availability of resources to determine the revenue for recognition in the fiscal year ending June 30, 20X1.</w:t>
      </w:r>
    </w:p>
    <w:p w14:paraId="48A96696" w14:textId="77777777" w:rsidR="00DE4780" w:rsidRDefault="00DE4780" w:rsidP="00DE4780">
      <w:pPr>
        <w:tabs>
          <w:tab w:val="left" w:pos="900"/>
        </w:tabs>
        <w:rPr>
          <w:b/>
          <w:bCs/>
        </w:rPr>
      </w:pPr>
      <w:r>
        <w:rPr>
          <w:b/>
          <w:bCs/>
        </w:rPr>
        <w:t>Step 2:</w:t>
      </w:r>
      <w:r>
        <w:rPr>
          <w:b/>
          <w:bCs/>
        </w:rPr>
        <w:tab/>
        <w:t>Calculate the Grant Receivable.</w:t>
      </w:r>
    </w:p>
    <w:p w14:paraId="25D166FB" w14:textId="77777777" w:rsidR="00DE4780" w:rsidRDefault="00DE4780" w:rsidP="00DE4780">
      <w:pPr>
        <w:spacing w:before="40" w:after="40"/>
      </w:pPr>
      <w:r>
        <w:t xml:space="preserve">Because this is a reimbursement-basis grant, the level of costs incurred during the grant period through June 30, 20X1, limits our Grant Receivable.  (Note:  Incurred costs include Accounts Payable </w:t>
      </w:r>
      <w:proofErr w:type="gramStart"/>
      <w:r>
        <w:t>at</w:t>
      </w:r>
      <w:proofErr w:type="gramEnd"/>
      <w:r>
        <w:t xml:space="preserve"> June 30.)  For this example, our maximum revenue for recognition through June 30, 20X1 is $3,500,000 (this equals the level of allowable costs incurred through June 30).  The receipts from the grantor through June 30 are subtracted from this maximum to determine the Grant Receivable as of June 30.  In our example, this results in the following calculation:</w:t>
      </w:r>
    </w:p>
    <w:p w14:paraId="6D686088" w14:textId="77777777" w:rsidR="00DE4780" w:rsidRDefault="00DE4780" w:rsidP="00DE4780">
      <w:pPr>
        <w:spacing w:before="40" w:after="40"/>
        <w:jc w:val="center"/>
      </w:pPr>
      <w:r>
        <w:t>$3,500,000 - $2,500,000 = $1,000,000</w:t>
      </w:r>
    </w:p>
    <w:p w14:paraId="584C27D5" w14:textId="77777777" w:rsidR="00DE4780" w:rsidRDefault="00DE4780" w:rsidP="00DE4780">
      <w:pPr>
        <w:spacing w:before="40" w:after="40"/>
      </w:pPr>
      <w:r>
        <w:t xml:space="preserve">Thus, on the Grants and Contribution Receivables and Deferred Revenue Summary Form (Form 3.3.1), a Gross Grant Receivable of $1,000,000 for this grant should be reported.  If the evaluation of collectability including collection experience </w:t>
      </w:r>
      <w:proofErr w:type="gramStart"/>
      <w:r>
        <w:t>subsequent to</w:t>
      </w:r>
      <w:proofErr w:type="gramEnd"/>
      <w:r>
        <w:t xml:space="preserve"> June 30 indicates that all of the amount is collectible and expected to be received by the </w:t>
      </w:r>
      <w:r>
        <w:rPr>
          <w:i/>
          <w:iCs/>
        </w:rPr>
        <w:t>next</w:t>
      </w:r>
      <w:r>
        <w:t xml:space="preserve"> June 30 no allowance for uncollectible should be reported and the </w:t>
      </w:r>
      <w:r>
        <w:lastRenderedPageBreak/>
        <w:t xml:space="preserve">Current Grant Receivable amount should be equal to the Gross Grant Receivable amount.  The calculation for the Non-Current Grant Receivable should result in zero reported. </w:t>
      </w:r>
    </w:p>
    <w:p w14:paraId="7CA0FBE7" w14:textId="35DAE645" w:rsidR="00DE4780" w:rsidRDefault="00DE4780" w:rsidP="00DE4780">
      <w:pPr>
        <w:spacing w:before="40"/>
      </w:pPr>
      <w:r>
        <w:t>As noted above, when calculating the Grant Receivable for a reimbursement-basis grant, the calculation should include relevant accounts payable information.</w:t>
      </w:r>
    </w:p>
    <w:p w14:paraId="46ECD1D7" w14:textId="77777777" w:rsidR="0012040B" w:rsidRDefault="00EB6B68" w:rsidP="003B02BA">
      <w:pPr>
        <w:pStyle w:val="Heading2"/>
      </w:pPr>
      <w:bookmarkStart w:id="407" w:name="_Toc166149310"/>
      <w:r>
        <w:t>EXAMPLE 3.8(A</w:t>
      </w:r>
      <w:r w:rsidR="00DE4780">
        <w:t>) Transactional – Assets transferred</w:t>
      </w:r>
      <w:bookmarkEnd w:id="407"/>
    </w:p>
    <w:p w14:paraId="063B07F1" w14:textId="77777777" w:rsidR="00DE4780" w:rsidRPr="00C57F9F" w:rsidRDefault="00DE4780" w:rsidP="00DE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sz w:val="28"/>
          <w:szCs w:val="28"/>
        </w:rPr>
      </w:pPr>
      <w:r w:rsidRPr="00C57F9F">
        <w:rPr>
          <w:sz w:val="28"/>
          <w:szCs w:val="28"/>
        </w:rPr>
        <w:t>INTRA-STATE TRANSFER EXAMPLES</w:t>
      </w:r>
    </w:p>
    <w:p w14:paraId="21AC4C12" w14:textId="77777777" w:rsidR="00DE4780" w:rsidRDefault="00DE4780" w:rsidP="00DE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p>
    <w:p w14:paraId="69EF05C2" w14:textId="77777777" w:rsidR="00DE4780" w:rsidRPr="0088691E" w:rsidRDefault="00DE4780" w:rsidP="00DE4780">
      <w:pPr>
        <w:pStyle w:val="Heading6"/>
        <w:rPr>
          <w:sz w:val="24"/>
          <w:szCs w:val="24"/>
        </w:rPr>
      </w:pPr>
      <w:r w:rsidRPr="0088691E">
        <w:rPr>
          <w:sz w:val="24"/>
          <w:szCs w:val="24"/>
        </w:rPr>
        <w:t>Capital Assets Received from Another Agency</w:t>
      </w:r>
    </w:p>
    <w:p w14:paraId="11BCDEA9" w14:textId="77777777" w:rsidR="00DE4780" w:rsidRDefault="00DE4780" w:rsidP="00DE4780">
      <w:pPr>
        <w:spacing w:before="60" w:after="60"/>
      </w:pPr>
      <w:r>
        <w:rPr>
          <w:i/>
          <w:iCs/>
        </w:rPr>
        <w:t>Situation</w:t>
      </w:r>
      <w:r>
        <w:t>:  One of your agency’s Governmental, Enterprise, Internal Service, or Trust funds receives donated capital assets from another agency.</w:t>
      </w:r>
    </w:p>
    <w:p w14:paraId="15B6C48D" w14:textId="77777777" w:rsidR="00DE4780" w:rsidRDefault="00DE4780" w:rsidP="00DE4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Pr>
          <w:i/>
          <w:iCs/>
        </w:rPr>
        <w:t>Procedure</w:t>
      </w:r>
      <w:r>
        <w:t xml:space="preserve">:  Add to your capital assets ledger the historical cost and accumulated depreciation the transferring agency had recorded for the asset.  </w:t>
      </w:r>
      <w:r w:rsidR="00D25B61">
        <w:t xml:space="preserve">Depreciation should be recognized from the date of the transfer.  </w:t>
      </w:r>
    </w:p>
    <w:p w14:paraId="1F9F0FD2" w14:textId="77777777" w:rsidR="00DE4780" w:rsidRPr="0088691E" w:rsidRDefault="00DE4780" w:rsidP="00DE4780">
      <w:pPr>
        <w:pStyle w:val="Heading6"/>
        <w:rPr>
          <w:sz w:val="24"/>
          <w:szCs w:val="24"/>
        </w:rPr>
      </w:pPr>
      <w:r w:rsidRPr="0088691E">
        <w:rPr>
          <w:sz w:val="24"/>
          <w:szCs w:val="24"/>
        </w:rPr>
        <w:t>Capital Assets Donated to Another Agency</w:t>
      </w:r>
    </w:p>
    <w:p w14:paraId="342EA06A" w14:textId="77777777" w:rsidR="00DE4780" w:rsidRDefault="00DE4780" w:rsidP="00DE4780">
      <w:pPr>
        <w:spacing w:before="60" w:after="60"/>
      </w:pPr>
      <w:r>
        <w:rPr>
          <w:i/>
          <w:iCs/>
        </w:rPr>
        <w:t>Situation</w:t>
      </w:r>
      <w:r>
        <w:t xml:space="preserve">:  One of your agency’s Governmental, Enterprise, Internal Service, or Trust funds donates capital assets to another agency.  </w:t>
      </w:r>
    </w:p>
    <w:p w14:paraId="7BCCD407" w14:textId="77777777" w:rsidR="00DE4780" w:rsidRDefault="00DE4780" w:rsidP="00DE4780">
      <w:pPr>
        <w:spacing w:before="60"/>
        <w:rPr>
          <w:u w:val="single"/>
        </w:rPr>
      </w:pPr>
      <w:r>
        <w:rPr>
          <w:i/>
          <w:iCs/>
        </w:rPr>
        <w:t>Procedure</w:t>
      </w:r>
      <w:r>
        <w:t xml:space="preserve">:  Subtract the asset’s historical cost and accumulated depreciation from your capital assets ledger.  </w:t>
      </w:r>
      <w:r w:rsidR="00D25B61">
        <w:t xml:space="preserve">Depreciation expense should be recognized to the date of transfer.  </w:t>
      </w:r>
    </w:p>
    <w:p w14:paraId="7BEF025B" w14:textId="77777777" w:rsidR="00DE4780" w:rsidRPr="0088691E" w:rsidRDefault="00DE4780" w:rsidP="00DE4780">
      <w:pPr>
        <w:pStyle w:val="Heading6"/>
        <w:rPr>
          <w:sz w:val="24"/>
          <w:szCs w:val="24"/>
        </w:rPr>
      </w:pPr>
      <w:r w:rsidRPr="0088691E">
        <w:rPr>
          <w:sz w:val="24"/>
          <w:szCs w:val="24"/>
        </w:rPr>
        <w:t>Capital Assets Transferred Between Funds Within Your Agency</w:t>
      </w:r>
    </w:p>
    <w:p w14:paraId="1B3A59F7" w14:textId="77777777" w:rsidR="00DE4780" w:rsidRDefault="00DE4780" w:rsidP="00DE4780">
      <w:pPr>
        <w:spacing w:before="60" w:after="60"/>
      </w:pPr>
      <w:r>
        <w:rPr>
          <w:i/>
          <w:iCs/>
        </w:rPr>
        <w:t>Situation 1</w:t>
      </w:r>
      <w:r>
        <w:t>:  Your agency’s Governmental funds receive donated capital assets from one of your agency’s Enterprise, Internal Service, or Trust funds.</w:t>
      </w:r>
    </w:p>
    <w:p w14:paraId="289A2AC7" w14:textId="77777777" w:rsidR="00DE4780" w:rsidRDefault="00DE4780" w:rsidP="00DE4780">
      <w:pPr>
        <w:spacing w:before="60" w:after="60"/>
      </w:pPr>
      <w:r>
        <w:rPr>
          <w:i/>
          <w:iCs/>
        </w:rPr>
        <w:t>Situation 2</w:t>
      </w:r>
      <w:r>
        <w:t>:  One of your agency’s Enterprise, Internal Service, or Trust funds receives donated capital assets from your agency’s Governmental funds.</w:t>
      </w:r>
    </w:p>
    <w:p w14:paraId="3D67EA29" w14:textId="77777777" w:rsidR="00DE4780" w:rsidRDefault="00DE4780" w:rsidP="00DE4780">
      <w:pPr>
        <w:spacing w:before="60" w:after="60"/>
      </w:pPr>
      <w:r>
        <w:rPr>
          <w:i/>
          <w:iCs/>
        </w:rPr>
        <w:t>Situation 3</w:t>
      </w:r>
      <w:r>
        <w:t>:  One of your agency’s Enterprise, Internal Service, or Trust funds receives donated capital assets from another of your agency’s Enterprise, Internal Service, or Trust funds.</w:t>
      </w:r>
    </w:p>
    <w:p w14:paraId="568F06E0" w14:textId="77777777" w:rsidR="00DE4780" w:rsidRDefault="00DE4780" w:rsidP="00DE4780">
      <w:pPr>
        <w:spacing w:before="60"/>
      </w:pPr>
      <w:r>
        <w:rPr>
          <w:i/>
          <w:iCs/>
        </w:rPr>
        <w:t>Procedure</w:t>
      </w:r>
      <w:r>
        <w:t xml:space="preserve">:  Remove the asset’s historical cost and accumulated depreciation from the transferring fund’s capital assets ledger and add the asset’s historical cost and accumulated depreciation to the fund to which the asset is being transferred.  The transferring fund will </w:t>
      </w:r>
      <w:r w:rsidR="00D25B61">
        <w:t>have depreciation expense on the asset through the date of the transfer</w:t>
      </w:r>
      <w:r>
        <w:t xml:space="preserve">, </w:t>
      </w:r>
      <w:r w:rsidR="00D25B61">
        <w:t xml:space="preserve">with </w:t>
      </w:r>
      <w:r>
        <w:t xml:space="preserve">the fund to which the asset is being transferred </w:t>
      </w:r>
      <w:r w:rsidR="00D25B61">
        <w:t xml:space="preserve">recognizing the depreciation expense for the remainder of the year.  </w:t>
      </w:r>
      <w:r>
        <w:t xml:space="preserve">Remember that the capital assets of your agency’s Governmental funds are </w:t>
      </w:r>
      <w:proofErr w:type="gramStart"/>
      <w:r>
        <w:t>combined together</w:t>
      </w:r>
      <w:proofErr w:type="gramEnd"/>
      <w:r>
        <w:t xml:space="preserve"> and reported on a single note.  </w:t>
      </w:r>
    </w:p>
    <w:p w14:paraId="4807B35D" w14:textId="77777777" w:rsidR="00DE4780" w:rsidRDefault="00DE4780" w:rsidP="00DE4780">
      <w:pPr>
        <w:spacing w:before="0" w:after="200" w:line="276" w:lineRule="auto"/>
        <w:jc w:val="left"/>
        <w:rPr>
          <w:szCs w:val="24"/>
        </w:rPr>
      </w:pPr>
    </w:p>
    <w:p w14:paraId="6A78D784" w14:textId="77777777" w:rsidR="00DE4780" w:rsidRDefault="00DE4780">
      <w:pPr>
        <w:spacing w:before="0" w:after="0"/>
        <w:jc w:val="left"/>
        <w:rPr>
          <w:szCs w:val="24"/>
        </w:rPr>
      </w:pPr>
      <w:r>
        <w:rPr>
          <w:szCs w:val="24"/>
        </w:rPr>
        <w:br w:type="page"/>
      </w:r>
    </w:p>
    <w:p w14:paraId="38F0CFE6" w14:textId="77777777" w:rsidR="001650D0" w:rsidRDefault="00D764B2" w:rsidP="00645391">
      <w:pPr>
        <w:pStyle w:val="Heading1"/>
      </w:pPr>
      <w:bookmarkStart w:id="408" w:name="_Toc166149311"/>
      <w:r>
        <w:lastRenderedPageBreak/>
        <w:t>PART VII APPENDICES</w:t>
      </w:r>
      <w:bookmarkEnd w:id="408"/>
    </w:p>
    <w:p w14:paraId="09648872" w14:textId="77777777" w:rsidR="0012040B" w:rsidRDefault="00D764B2" w:rsidP="003B02BA">
      <w:pPr>
        <w:pStyle w:val="Heading2"/>
      </w:pPr>
      <w:bookmarkStart w:id="409" w:name="_Toc166149312"/>
      <w:r>
        <w:t>APPENDIX A—SOURCES OF GAAP</w:t>
      </w:r>
      <w:bookmarkEnd w:id="409"/>
    </w:p>
    <w:p w14:paraId="70D32161" w14:textId="77777777" w:rsidR="00D764B2" w:rsidRPr="00156474" w:rsidRDefault="00D764B2" w:rsidP="00156474">
      <w:pPr>
        <w:rPr>
          <w:b/>
        </w:rPr>
      </w:pPr>
      <w:bookmarkStart w:id="410" w:name="_Toc107731470"/>
      <w:r w:rsidRPr="00156474">
        <w:rPr>
          <w:b/>
        </w:rPr>
        <w:t>Sources of Generally Accepted Accounting P</w:t>
      </w:r>
      <w:bookmarkEnd w:id="410"/>
      <w:r w:rsidRPr="00156474">
        <w:rPr>
          <w:b/>
        </w:rPr>
        <w:t>rinciples</w:t>
      </w:r>
    </w:p>
    <w:p w14:paraId="6EB46745" w14:textId="77777777" w:rsidR="00D764B2" w:rsidRPr="00402D08" w:rsidRDefault="00D764B2" w:rsidP="00D764B2">
      <w:r w:rsidRPr="00402D08">
        <w:t>Many of the accounting and financial reporting standards that apply to governments appear in:</w:t>
      </w:r>
    </w:p>
    <w:p w14:paraId="19EAA49A" w14:textId="7BACA492" w:rsidR="00156474" w:rsidRDefault="00156474" w:rsidP="00A977AC">
      <w:pPr>
        <w:pStyle w:val="Bullet0"/>
      </w:pPr>
      <w:r>
        <w:rPr>
          <w:i/>
          <w:iCs/>
        </w:rPr>
        <w:t>Governmental Accounting Research System</w:t>
      </w:r>
      <w:r w:rsidR="00D764B2" w:rsidRPr="00402D08">
        <w:t>, Governmental Accounting Standards Board (GASB</w:t>
      </w:r>
      <w:r>
        <w:t>)</w:t>
      </w:r>
      <w:r w:rsidR="00D764B2" w:rsidRPr="00402D08">
        <w:t xml:space="preserve">.  A book of original GASB pronouncements is also available.  To </w:t>
      </w:r>
      <w:r>
        <w:t>purchase</w:t>
      </w:r>
      <w:r w:rsidR="00D764B2" w:rsidRPr="00402D08">
        <w:t xml:space="preserve"> a </w:t>
      </w:r>
      <w:r>
        <w:t xml:space="preserve">bound </w:t>
      </w:r>
      <w:r w:rsidR="00D764B2" w:rsidRPr="00402D08">
        <w:t>copy of the Codification</w:t>
      </w:r>
      <w:r w:rsidRPr="00402D08">
        <w:t xml:space="preserve">, updated </w:t>
      </w:r>
      <w:r>
        <w:t>as of</w:t>
      </w:r>
      <w:r w:rsidRPr="00402D08">
        <w:t xml:space="preserve"> June 30</w:t>
      </w:r>
      <w:r>
        <w:t xml:space="preserve"> each year</w:t>
      </w:r>
      <w:r w:rsidR="00D764B2" w:rsidRPr="00402D08">
        <w:t xml:space="preserve">, Original Pronouncements, or any GASB statement, implementation guide (including the </w:t>
      </w:r>
      <w:r w:rsidR="00D764B2" w:rsidRPr="00402D08">
        <w:rPr>
          <w:i/>
          <w:iCs/>
        </w:rPr>
        <w:t>Comprehensive Implementation Guide</w:t>
      </w:r>
      <w:r w:rsidR="00D764B2" w:rsidRPr="00402D08">
        <w:t xml:space="preserve">), interpretation, or technical bulletin, and/or related cost information, </w:t>
      </w:r>
      <w:r w:rsidRPr="00402D08">
        <w:t xml:space="preserve">visit them at </w:t>
      </w:r>
      <w:r w:rsidRPr="00156474">
        <w:t>http://www.gasb.org</w:t>
      </w:r>
      <w:r w:rsidR="00590C66">
        <w:t>.</w:t>
      </w:r>
    </w:p>
    <w:p w14:paraId="36261938" w14:textId="69FE8EA1" w:rsidR="00D764B2" w:rsidRPr="00402D08" w:rsidRDefault="00D764B2" w:rsidP="00590C66">
      <w:pPr>
        <w:pStyle w:val="Bullet0"/>
      </w:pPr>
      <w:r w:rsidRPr="00402D08">
        <w:rPr>
          <w:i/>
          <w:iCs/>
        </w:rPr>
        <w:t>State and Local Governments</w:t>
      </w:r>
      <w:r w:rsidR="00BD514C">
        <w:rPr>
          <w:i/>
          <w:iCs/>
        </w:rPr>
        <w:t xml:space="preserve"> – Audit and Accounting Guide</w:t>
      </w:r>
      <w:r w:rsidRPr="00402D08">
        <w:t xml:space="preserve">, American Institute of Certified Public Accountants, </w:t>
      </w:r>
      <w:r w:rsidR="00BD514C">
        <w:t xml:space="preserve">updated as of </w:t>
      </w:r>
      <w:r w:rsidRPr="00402D08">
        <w:t>Ma</w:t>
      </w:r>
      <w:r w:rsidR="00BD514C">
        <w:t xml:space="preserve">rch </w:t>
      </w:r>
      <w:r w:rsidRPr="00402D08">
        <w:t xml:space="preserve">1, </w:t>
      </w:r>
      <w:r w:rsidR="00BD514C" w:rsidRPr="00402D08">
        <w:t>20</w:t>
      </w:r>
      <w:r w:rsidR="00BD514C">
        <w:t>1</w:t>
      </w:r>
      <w:r w:rsidR="002B6FF2">
        <w:t>3</w:t>
      </w:r>
      <w:r w:rsidR="00BD514C" w:rsidRPr="00402D08">
        <w:t xml:space="preserve"> </w:t>
      </w:r>
      <w:r w:rsidRPr="00402D08">
        <w:t xml:space="preserve">(or latest date available).  To obtain a copy of this or any other AICPA publication and/or related cost information, visit them at </w:t>
      </w:r>
      <w:hyperlink r:id="rId24" w:history="1">
        <w:r w:rsidRPr="00402D08">
          <w:rPr>
            <w:rStyle w:val="Hyperlink"/>
            <w:color w:val="000000"/>
          </w:rPr>
          <w:t>http://www.aicpa.org</w:t>
        </w:r>
      </w:hyperlink>
      <w:r w:rsidR="00590C66">
        <w:rPr>
          <w:color w:val="000000"/>
        </w:rPr>
        <w:t>.</w:t>
      </w:r>
    </w:p>
    <w:p w14:paraId="432BC1E7" w14:textId="0A703BDC" w:rsidR="00615293" w:rsidRPr="00402D08" w:rsidRDefault="00D764B2" w:rsidP="00590C66">
      <w:pPr>
        <w:pStyle w:val="Bullet0"/>
      </w:pPr>
      <w:r w:rsidRPr="00402D08">
        <w:rPr>
          <w:i/>
          <w:iCs/>
        </w:rPr>
        <w:t>Certificate of Achievement Checklist</w:t>
      </w:r>
      <w:r w:rsidRPr="00402D08">
        <w:t xml:space="preserve">, Government Financial Officers Association’s (GFOA) Certificate of Achievement for Excellence in Financial Reporting (revised annually).  The checklist for the current fiscal year is available on the Internet at </w:t>
      </w:r>
      <w:hyperlink r:id="rId25" w:history="1">
        <w:r w:rsidRPr="00402D08">
          <w:rPr>
            <w:rStyle w:val="Hyperlink"/>
            <w:color w:val="000000"/>
          </w:rPr>
          <w:t>http://www.gfoa.org/forms/</w:t>
        </w:r>
      </w:hyperlink>
      <w:r w:rsidRPr="00402D08">
        <w:rPr>
          <w:color w:val="000000"/>
        </w:rPr>
        <w:t>.</w:t>
      </w:r>
      <w:r w:rsidRPr="00402D08">
        <w:t xml:space="preserve">  The GFOA also issues a hardcover publication, </w:t>
      </w:r>
      <w:r w:rsidRPr="00402D08">
        <w:rPr>
          <w:i/>
          <w:iCs/>
        </w:rPr>
        <w:t>Governmental Accounting, Auditing, and Financial Reporting</w:t>
      </w:r>
      <w:r w:rsidRPr="00402D08">
        <w:t xml:space="preserve"> (also known as the </w:t>
      </w:r>
      <w:r w:rsidRPr="00402D08">
        <w:rPr>
          <w:i/>
          <w:iCs/>
        </w:rPr>
        <w:t>GAAFR</w:t>
      </w:r>
      <w:r w:rsidRPr="00402D08">
        <w:t xml:space="preserve"> or the </w:t>
      </w:r>
      <w:r w:rsidRPr="00402D08">
        <w:rPr>
          <w:i/>
          <w:iCs/>
        </w:rPr>
        <w:t>Blue Book</w:t>
      </w:r>
      <w:r w:rsidRPr="00402D08">
        <w:t>)</w:t>
      </w:r>
      <w:r w:rsidR="00590C66">
        <w:t xml:space="preserve">. </w:t>
      </w:r>
      <w:r w:rsidRPr="00402D08">
        <w:t xml:space="preserve">To purchase any GFOA publication, visit them at </w:t>
      </w:r>
      <w:hyperlink r:id="rId26" w:history="1">
        <w:r w:rsidRPr="00402D08">
          <w:rPr>
            <w:rStyle w:val="Hyperlink"/>
            <w:color w:val="000000"/>
          </w:rPr>
          <w:t>http://www.gfoa.org</w:t>
        </w:r>
      </w:hyperlink>
      <w:r w:rsidR="00590C66">
        <w:rPr>
          <w:color w:val="000000"/>
        </w:rPr>
        <w:t>.</w:t>
      </w:r>
    </w:p>
    <w:p w14:paraId="1E1E6F1F" w14:textId="55424B61" w:rsidR="00D764B2" w:rsidRPr="00402D08" w:rsidRDefault="00D764B2" w:rsidP="00590C66">
      <w:pPr>
        <w:spacing w:before="300" w:line="260" w:lineRule="exact"/>
      </w:pPr>
      <w:proofErr w:type="gramStart"/>
      <w:r w:rsidRPr="00402D08">
        <w:t>A number of</w:t>
      </w:r>
      <w:proofErr w:type="gramEnd"/>
      <w:r w:rsidRPr="00402D08">
        <w:t xml:space="preserve"> the financial reporting standards issued by the Financial Accounting Standards Board (FASB) apply to the government-wide financial statements of governmental organizations.  The FASB Accounting Standard’s Codification is available</w:t>
      </w:r>
      <w:r>
        <w:t xml:space="preserve"> at </w:t>
      </w:r>
      <w:hyperlink r:id="rId27" w:history="1">
        <w:r w:rsidRPr="009D0373">
          <w:rPr>
            <w:rStyle w:val="Hyperlink"/>
          </w:rPr>
          <w:t>http://www.asc.fasb.org</w:t>
        </w:r>
      </w:hyperlink>
      <w:r w:rsidR="00590C66" w:rsidRPr="00590C66">
        <w:rPr>
          <w:rStyle w:val="Hyperlink"/>
          <w:color w:val="auto"/>
          <w:u w:val="none"/>
        </w:rPr>
        <w:t>.</w:t>
      </w:r>
      <w:r>
        <w:t xml:space="preserve"> </w:t>
      </w:r>
    </w:p>
    <w:p w14:paraId="1099B2BF" w14:textId="77777777" w:rsidR="00D764B2" w:rsidRDefault="00D764B2" w:rsidP="00D764B2"/>
    <w:p w14:paraId="736B073D" w14:textId="77777777" w:rsidR="00517D44" w:rsidRDefault="00517D44">
      <w:pPr>
        <w:spacing w:before="0" w:after="0"/>
        <w:jc w:val="left"/>
      </w:pPr>
      <w:r>
        <w:br w:type="page"/>
      </w:r>
    </w:p>
    <w:p w14:paraId="6C019A0B" w14:textId="77777777" w:rsidR="0012040B" w:rsidRDefault="00517D44" w:rsidP="003B02BA">
      <w:pPr>
        <w:pStyle w:val="Heading2"/>
      </w:pPr>
      <w:bookmarkStart w:id="411" w:name="_Toc166149313"/>
      <w:r w:rsidRPr="00517D44">
        <w:lastRenderedPageBreak/>
        <w:t xml:space="preserve">APPENDIX B— BUSINESS AREA RELATION TO FUNCTIONAL </w:t>
      </w:r>
      <w:r w:rsidRPr="004D3F4E">
        <w:t>REPORTING</w:t>
      </w:r>
      <w:bookmarkEnd w:id="411"/>
    </w:p>
    <w:p w14:paraId="147F895E" w14:textId="77777777" w:rsidR="004D3F4E" w:rsidRPr="004D3F4E" w:rsidRDefault="004D3F4E" w:rsidP="004D3F4E"/>
    <w:tbl>
      <w:tblPr>
        <w:tblW w:w="8640" w:type="dxa"/>
        <w:tblInd w:w="558" w:type="dxa"/>
        <w:tblLook w:val="04A0" w:firstRow="1" w:lastRow="0" w:firstColumn="1" w:lastColumn="0" w:noHBand="0" w:noVBand="1"/>
      </w:tblPr>
      <w:tblGrid>
        <w:gridCol w:w="2074"/>
        <w:gridCol w:w="6566"/>
      </w:tblGrid>
      <w:tr w:rsidR="00590C66" w:rsidRPr="00517D44" w14:paraId="7D81D279" w14:textId="77777777" w:rsidTr="000B0350">
        <w:trPr>
          <w:trHeight w:val="222"/>
        </w:trPr>
        <w:tc>
          <w:tcPr>
            <w:tcW w:w="2074" w:type="dxa"/>
            <w:tcBorders>
              <w:top w:val="nil"/>
              <w:left w:val="nil"/>
              <w:bottom w:val="nil"/>
              <w:right w:val="nil"/>
            </w:tcBorders>
            <w:shd w:val="clear" w:color="auto" w:fill="auto"/>
            <w:noWrap/>
            <w:vAlign w:val="bottom"/>
            <w:hideMark/>
          </w:tcPr>
          <w:p w14:paraId="7BC587E1" w14:textId="77777777" w:rsidR="00590C66" w:rsidRPr="00517D44" w:rsidRDefault="00590C66" w:rsidP="00517D44">
            <w:pPr>
              <w:spacing w:before="0" w:after="0"/>
              <w:jc w:val="center"/>
              <w:rPr>
                <w:szCs w:val="24"/>
              </w:rPr>
            </w:pPr>
            <w:r w:rsidRPr="00517D44">
              <w:rPr>
                <w:szCs w:val="24"/>
              </w:rPr>
              <w:t>FIRST LETTER OF AGENCY CODE</w:t>
            </w:r>
          </w:p>
        </w:tc>
        <w:tc>
          <w:tcPr>
            <w:tcW w:w="31680" w:type="dxa"/>
            <w:tcBorders>
              <w:top w:val="nil"/>
              <w:left w:val="nil"/>
              <w:bottom w:val="nil"/>
              <w:right w:val="nil"/>
            </w:tcBorders>
            <w:vAlign w:val="bottom"/>
          </w:tcPr>
          <w:p w14:paraId="22DC6E57" w14:textId="77777777" w:rsidR="00590C66" w:rsidRPr="00517D44" w:rsidRDefault="00590C66" w:rsidP="00517D44">
            <w:pPr>
              <w:spacing w:before="0" w:after="0"/>
              <w:jc w:val="center"/>
              <w:rPr>
                <w:szCs w:val="24"/>
              </w:rPr>
            </w:pPr>
            <w:r w:rsidRPr="00517D44">
              <w:rPr>
                <w:szCs w:val="24"/>
              </w:rPr>
              <w:t>DESCRIPTION</w:t>
            </w:r>
          </w:p>
        </w:tc>
      </w:tr>
      <w:tr w:rsidR="00590C66" w:rsidRPr="00517D44" w14:paraId="72EEBF36" w14:textId="77777777" w:rsidTr="000B0350">
        <w:trPr>
          <w:trHeight w:val="315"/>
        </w:trPr>
        <w:tc>
          <w:tcPr>
            <w:tcW w:w="2074" w:type="dxa"/>
            <w:tcBorders>
              <w:top w:val="nil"/>
              <w:left w:val="nil"/>
              <w:bottom w:val="nil"/>
              <w:right w:val="nil"/>
            </w:tcBorders>
            <w:shd w:val="clear" w:color="auto" w:fill="auto"/>
            <w:noWrap/>
            <w:vAlign w:val="bottom"/>
            <w:hideMark/>
          </w:tcPr>
          <w:p w14:paraId="7874681C" w14:textId="77777777" w:rsidR="00590C66" w:rsidRPr="00517D44" w:rsidRDefault="00590C66" w:rsidP="004D3F4E">
            <w:pPr>
              <w:spacing w:before="40" w:after="40" w:line="360" w:lineRule="auto"/>
              <w:jc w:val="center"/>
              <w:rPr>
                <w:szCs w:val="24"/>
              </w:rPr>
            </w:pPr>
            <w:r w:rsidRPr="00517D44">
              <w:rPr>
                <w:szCs w:val="24"/>
              </w:rPr>
              <w:t>A</w:t>
            </w:r>
          </w:p>
        </w:tc>
        <w:tc>
          <w:tcPr>
            <w:tcW w:w="31680" w:type="dxa"/>
            <w:tcBorders>
              <w:top w:val="nil"/>
              <w:left w:val="nil"/>
              <w:bottom w:val="nil"/>
              <w:right w:val="nil"/>
            </w:tcBorders>
          </w:tcPr>
          <w:p w14:paraId="19D747EB" w14:textId="77777777" w:rsidR="00590C66" w:rsidRPr="00517D44" w:rsidRDefault="00590C66" w:rsidP="004D3F4E">
            <w:pPr>
              <w:spacing w:before="40" w:after="40" w:line="360" w:lineRule="auto"/>
              <w:jc w:val="left"/>
              <w:rPr>
                <w:szCs w:val="24"/>
              </w:rPr>
            </w:pPr>
            <w:r w:rsidRPr="00517D44">
              <w:rPr>
                <w:szCs w:val="24"/>
              </w:rPr>
              <w:t>General Governmental</w:t>
            </w:r>
          </w:p>
        </w:tc>
      </w:tr>
      <w:tr w:rsidR="00590C66" w:rsidRPr="00517D44" w14:paraId="2AD0A6E0" w14:textId="77777777" w:rsidTr="000B0350">
        <w:trPr>
          <w:trHeight w:val="315"/>
        </w:trPr>
        <w:tc>
          <w:tcPr>
            <w:tcW w:w="2074" w:type="dxa"/>
            <w:tcBorders>
              <w:top w:val="nil"/>
              <w:left w:val="nil"/>
              <w:bottom w:val="nil"/>
              <w:right w:val="nil"/>
            </w:tcBorders>
            <w:shd w:val="clear" w:color="auto" w:fill="auto"/>
            <w:noWrap/>
            <w:vAlign w:val="bottom"/>
            <w:hideMark/>
          </w:tcPr>
          <w:p w14:paraId="4C2A6756" w14:textId="77777777" w:rsidR="00590C66" w:rsidRPr="00517D44" w:rsidRDefault="00590C66" w:rsidP="004D3F4E">
            <w:pPr>
              <w:spacing w:before="40" w:after="40" w:line="360" w:lineRule="auto"/>
              <w:jc w:val="center"/>
              <w:rPr>
                <w:szCs w:val="24"/>
              </w:rPr>
            </w:pPr>
            <w:r w:rsidRPr="00517D44">
              <w:rPr>
                <w:szCs w:val="24"/>
              </w:rPr>
              <w:t>B</w:t>
            </w:r>
          </w:p>
        </w:tc>
        <w:tc>
          <w:tcPr>
            <w:tcW w:w="31680" w:type="dxa"/>
            <w:tcBorders>
              <w:top w:val="nil"/>
              <w:left w:val="nil"/>
              <w:bottom w:val="nil"/>
              <w:right w:val="nil"/>
            </w:tcBorders>
          </w:tcPr>
          <w:p w14:paraId="3D095A0E" w14:textId="77777777" w:rsidR="00590C66" w:rsidRPr="00517D44" w:rsidRDefault="00590C66" w:rsidP="004D3F4E">
            <w:pPr>
              <w:spacing w:before="40" w:after="40" w:line="360" w:lineRule="auto"/>
              <w:jc w:val="left"/>
              <w:rPr>
                <w:szCs w:val="24"/>
              </w:rPr>
            </w:pPr>
            <w:r w:rsidRPr="00517D44">
              <w:rPr>
                <w:szCs w:val="24"/>
              </w:rPr>
              <w:t>Administration of Justice</w:t>
            </w:r>
          </w:p>
        </w:tc>
      </w:tr>
      <w:tr w:rsidR="00590C66" w:rsidRPr="00517D44" w14:paraId="7F7C2EC7" w14:textId="77777777" w:rsidTr="000B0350">
        <w:trPr>
          <w:trHeight w:val="315"/>
        </w:trPr>
        <w:tc>
          <w:tcPr>
            <w:tcW w:w="2074" w:type="dxa"/>
            <w:tcBorders>
              <w:top w:val="nil"/>
              <w:left w:val="nil"/>
              <w:bottom w:val="nil"/>
              <w:right w:val="nil"/>
            </w:tcBorders>
            <w:shd w:val="clear" w:color="auto" w:fill="auto"/>
            <w:noWrap/>
            <w:vAlign w:val="bottom"/>
            <w:hideMark/>
          </w:tcPr>
          <w:p w14:paraId="219EA669" w14:textId="77777777" w:rsidR="00590C66" w:rsidRPr="00517D44" w:rsidRDefault="00590C66" w:rsidP="004D3F4E">
            <w:pPr>
              <w:spacing w:before="40" w:after="40" w:line="360" w:lineRule="auto"/>
              <w:jc w:val="center"/>
              <w:rPr>
                <w:szCs w:val="24"/>
              </w:rPr>
            </w:pPr>
            <w:r w:rsidRPr="00517D44">
              <w:rPr>
                <w:szCs w:val="24"/>
              </w:rPr>
              <w:t>C</w:t>
            </w:r>
          </w:p>
        </w:tc>
        <w:tc>
          <w:tcPr>
            <w:tcW w:w="31680" w:type="dxa"/>
            <w:tcBorders>
              <w:top w:val="nil"/>
              <w:left w:val="nil"/>
              <w:bottom w:val="nil"/>
              <w:right w:val="nil"/>
            </w:tcBorders>
          </w:tcPr>
          <w:p w14:paraId="0E30C181" w14:textId="66AB31BD" w:rsidR="00590C66" w:rsidRPr="00517D44" w:rsidRDefault="00590C66" w:rsidP="004D3F4E">
            <w:pPr>
              <w:spacing w:before="40" w:after="40" w:line="360" w:lineRule="auto"/>
              <w:jc w:val="left"/>
              <w:rPr>
                <w:szCs w:val="24"/>
              </w:rPr>
            </w:pPr>
            <w:r w:rsidRPr="00517D44">
              <w:rPr>
                <w:szCs w:val="24"/>
              </w:rPr>
              <w:t>Administration of Justice</w:t>
            </w:r>
          </w:p>
        </w:tc>
      </w:tr>
      <w:tr w:rsidR="00590C66" w:rsidRPr="00517D44" w14:paraId="693ECC5E" w14:textId="77777777" w:rsidTr="000B0350">
        <w:trPr>
          <w:trHeight w:val="315"/>
        </w:trPr>
        <w:tc>
          <w:tcPr>
            <w:tcW w:w="2074" w:type="dxa"/>
            <w:tcBorders>
              <w:top w:val="nil"/>
              <w:left w:val="nil"/>
              <w:bottom w:val="nil"/>
              <w:right w:val="nil"/>
            </w:tcBorders>
            <w:shd w:val="clear" w:color="auto" w:fill="auto"/>
            <w:noWrap/>
            <w:vAlign w:val="bottom"/>
            <w:hideMark/>
          </w:tcPr>
          <w:p w14:paraId="5A1B7BFB" w14:textId="77777777" w:rsidR="00590C66" w:rsidRPr="00517D44" w:rsidRDefault="00590C66" w:rsidP="004D3F4E">
            <w:pPr>
              <w:spacing w:before="40" w:after="40" w:line="360" w:lineRule="auto"/>
              <w:jc w:val="center"/>
              <w:rPr>
                <w:szCs w:val="24"/>
              </w:rPr>
            </w:pPr>
            <w:r w:rsidRPr="00517D44">
              <w:rPr>
                <w:szCs w:val="24"/>
              </w:rPr>
              <w:t>D</w:t>
            </w:r>
          </w:p>
        </w:tc>
        <w:tc>
          <w:tcPr>
            <w:tcW w:w="31680" w:type="dxa"/>
            <w:tcBorders>
              <w:top w:val="nil"/>
              <w:left w:val="nil"/>
              <w:bottom w:val="nil"/>
              <w:right w:val="nil"/>
            </w:tcBorders>
          </w:tcPr>
          <w:p w14:paraId="4B0A67D9" w14:textId="2FBFFBAC" w:rsidR="00590C66" w:rsidRPr="00517D44" w:rsidRDefault="00590C66" w:rsidP="004D3F4E">
            <w:pPr>
              <w:spacing w:before="40" w:after="40" w:line="360" w:lineRule="auto"/>
              <w:jc w:val="left"/>
              <w:rPr>
                <w:szCs w:val="24"/>
              </w:rPr>
            </w:pPr>
            <w:r>
              <w:rPr>
                <w:szCs w:val="24"/>
              </w:rPr>
              <w:t>Varies</w:t>
            </w:r>
          </w:p>
        </w:tc>
      </w:tr>
      <w:tr w:rsidR="00590C66" w:rsidRPr="00517D44" w14:paraId="69D97167" w14:textId="77777777" w:rsidTr="000B0350">
        <w:trPr>
          <w:trHeight w:val="315"/>
        </w:trPr>
        <w:tc>
          <w:tcPr>
            <w:tcW w:w="2074" w:type="dxa"/>
            <w:tcBorders>
              <w:top w:val="nil"/>
              <w:left w:val="nil"/>
              <w:bottom w:val="nil"/>
              <w:right w:val="nil"/>
            </w:tcBorders>
            <w:shd w:val="clear" w:color="auto" w:fill="auto"/>
            <w:noWrap/>
            <w:vAlign w:val="bottom"/>
            <w:hideMark/>
          </w:tcPr>
          <w:p w14:paraId="29331881" w14:textId="77777777" w:rsidR="00590C66" w:rsidRPr="00517D44" w:rsidRDefault="00590C66" w:rsidP="004D3F4E">
            <w:pPr>
              <w:spacing w:before="40" w:after="40" w:line="360" w:lineRule="auto"/>
              <w:jc w:val="center"/>
              <w:rPr>
                <w:szCs w:val="24"/>
              </w:rPr>
            </w:pPr>
            <w:r w:rsidRPr="00517D44">
              <w:rPr>
                <w:szCs w:val="24"/>
              </w:rPr>
              <w:t>E</w:t>
            </w:r>
          </w:p>
        </w:tc>
        <w:tc>
          <w:tcPr>
            <w:tcW w:w="31680" w:type="dxa"/>
            <w:tcBorders>
              <w:top w:val="nil"/>
              <w:left w:val="nil"/>
              <w:bottom w:val="nil"/>
              <w:right w:val="nil"/>
            </w:tcBorders>
          </w:tcPr>
          <w:p w14:paraId="3174D343" w14:textId="5CF52D28" w:rsidR="00590C66" w:rsidRPr="00517D44" w:rsidRDefault="00590C66" w:rsidP="004D3F4E">
            <w:pPr>
              <w:spacing w:before="40" w:after="40" w:line="360" w:lineRule="auto"/>
              <w:jc w:val="left"/>
              <w:rPr>
                <w:szCs w:val="24"/>
              </w:rPr>
            </w:pPr>
            <w:r>
              <w:rPr>
                <w:szCs w:val="24"/>
              </w:rPr>
              <w:t>Varies</w:t>
            </w:r>
          </w:p>
        </w:tc>
      </w:tr>
      <w:tr w:rsidR="00590C66" w:rsidRPr="00517D44" w14:paraId="768D0A51" w14:textId="77777777" w:rsidTr="000B0350">
        <w:trPr>
          <w:trHeight w:val="315"/>
        </w:trPr>
        <w:tc>
          <w:tcPr>
            <w:tcW w:w="2074" w:type="dxa"/>
            <w:tcBorders>
              <w:top w:val="nil"/>
              <w:left w:val="nil"/>
              <w:bottom w:val="nil"/>
              <w:right w:val="nil"/>
            </w:tcBorders>
            <w:shd w:val="clear" w:color="auto" w:fill="auto"/>
            <w:noWrap/>
            <w:vAlign w:val="bottom"/>
            <w:hideMark/>
          </w:tcPr>
          <w:p w14:paraId="55E061DF" w14:textId="77777777" w:rsidR="00590C66" w:rsidRPr="00517D44" w:rsidRDefault="00590C66" w:rsidP="004D3F4E">
            <w:pPr>
              <w:spacing w:before="40" w:after="40" w:line="360" w:lineRule="auto"/>
              <w:jc w:val="center"/>
              <w:rPr>
                <w:szCs w:val="24"/>
              </w:rPr>
            </w:pPr>
            <w:r w:rsidRPr="00517D44">
              <w:rPr>
                <w:szCs w:val="24"/>
              </w:rPr>
              <w:t>F</w:t>
            </w:r>
          </w:p>
        </w:tc>
        <w:tc>
          <w:tcPr>
            <w:tcW w:w="31680" w:type="dxa"/>
            <w:tcBorders>
              <w:top w:val="nil"/>
              <w:left w:val="nil"/>
              <w:bottom w:val="nil"/>
              <w:right w:val="nil"/>
            </w:tcBorders>
          </w:tcPr>
          <w:p w14:paraId="4C871DBF" w14:textId="77777777" w:rsidR="00590C66" w:rsidRPr="00517D44" w:rsidRDefault="00590C66" w:rsidP="004D3F4E">
            <w:pPr>
              <w:spacing w:before="40" w:after="40" w:line="360" w:lineRule="auto"/>
              <w:jc w:val="left"/>
              <w:rPr>
                <w:szCs w:val="24"/>
              </w:rPr>
            </w:pPr>
            <w:r w:rsidRPr="00517D44">
              <w:rPr>
                <w:szCs w:val="24"/>
              </w:rPr>
              <w:t>General Governmental</w:t>
            </w:r>
          </w:p>
        </w:tc>
      </w:tr>
      <w:tr w:rsidR="00590C66" w:rsidRPr="00517D44" w14:paraId="220025AF" w14:textId="77777777" w:rsidTr="000B0350">
        <w:trPr>
          <w:trHeight w:val="315"/>
        </w:trPr>
        <w:tc>
          <w:tcPr>
            <w:tcW w:w="2074" w:type="dxa"/>
            <w:tcBorders>
              <w:top w:val="nil"/>
              <w:left w:val="nil"/>
              <w:bottom w:val="nil"/>
              <w:right w:val="nil"/>
            </w:tcBorders>
            <w:shd w:val="clear" w:color="auto" w:fill="auto"/>
            <w:noWrap/>
            <w:vAlign w:val="bottom"/>
            <w:hideMark/>
          </w:tcPr>
          <w:p w14:paraId="1BD1AEC7" w14:textId="77777777" w:rsidR="00590C66" w:rsidRPr="00517D44" w:rsidRDefault="00590C66" w:rsidP="004D3F4E">
            <w:pPr>
              <w:spacing w:before="40" w:after="40" w:line="360" w:lineRule="auto"/>
              <w:jc w:val="center"/>
              <w:rPr>
                <w:szCs w:val="24"/>
              </w:rPr>
            </w:pPr>
            <w:r w:rsidRPr="00517D44">
              <w:rPr>
                <w:szCs w:val="24"/>
              </w:rPr>
              <w:t>H</w:t>
            </w:r>
          </w:p>
        </w:tc>
        <w:tc>
          <w:tcPr>
            <w:tcW w:w="31680" w:type="dxa"/>
            <w:tcBorders>
              <w:top w:val="nil"/>
              <w:left w:val="nil"/>
              <w:bottom w:val="nil"/>
              <w:right w:val="nil"/>
            </w:tcBorders>
          </w:tcPr>
          <w:p w14:paraId="42B12C60" w14:textId="77777777" w:rsidR="00590C66" w:rsidRPr="00517D44" w:rsidRDefault="00590C66" w:rsidP="004D3F4E">
            <w:pPr>
              <w:spacing w:before="40" w:after="40" w:line="360" w:lineRule="auto"/>
              <w:jc w:val="left"/>
              <w:rPr>
                <w:szCs w:val="24"/>
              </w:rPr>
            </w:pPr>
            <w:r w:rsidRPr="00517D44">
              <w:rPr>
                <w:szCs w:val="24"/>
              </w:rPr>
              <w:t>Education</w:t>
            </w:r>
          </w:p>
        </w:tc>
      </w:tr>
      <w:tr w:rsidR="00590C66" w:rsidRPr="00517D44" w14:paraId="00216D40" w14:textId="77777777" w:rsidTr="000B0350">
        <w:trPr>
          <w:trHeight w:val="315"/>
        </w:trPr>
        <w:tc>
          <w:tcPr>
            <w:tcW w:w="2074" w:type="dxa"/>
            <w:tcBorders>
              <w:top w:val="nil"/>
              <w:left w:val="nil"/>
              <w:bottom w:val="nil"/>
              <w:right w:val="nil"/>
            </w:tcBorders>
            <w:shd w:val="clear" w:color="auto" w:fill="auto"/>
            <w:noWrap/>
            <w:vAlign w:val="bottom"/>
            <w:hideMark/>
          </w:tcPr>
          <w:p w14:paraId="7AB276FF" w14:textId="77777777" w:rsidR="00590C66" w:rsidRPr="00517D44" w:rsidRDefault="00590C66" w:rsidP="004D3F4E">
            <w:pPr>
              <w:spacing w:before="40" w:after="40" w:line="360" w:lineRule="auto"/>
              <w:jc w:val="center"/>
              <w:rPr>
                <w:szCs w:val="24"/>
              </w:rPr>
            </w:pPr>
            <w:r w:rsidRPr="00517D44">
              <w:rPr>
                <w:szCs w:val="24"/>
              </w:rPr>
              <w:t>J</w:t>
            </w:r>
          </w:p>
        </w:tc>
        <w:tc>
          <w:tcPr>
            <w:tcW w:w="31680" w:type="dxa"/>
            <w:tcBorders>
              <w:top w:val="nil"/>
              <w:left w:val="nil"/>
              <w:bottom w:val="nil"/>
              <w:right w:val="nil"/>
            </w:tcBorders>
          </w:tcPr>
          <w:p w14:paraId="399ABBBF" w14:textId="44D24B4C" w:rsidR="00590C66" w:rsidRPr="00517D44" w:rsidRDefault="00590C66" w:rsidP="004D3F4E">
            <w:pPr>
              <w:spacing w:before="40" w:after="40" w:line="360" w:lineRule="auto"/>
              <w:jc w:val="left"/>
              <w:rPr>
                <w:szCs w:val="24"/>
              </w:rPr>
            </w:pPr>
            <w:r w:rsidRPr="00517D44">
              <w:rPr>
                <w:szCs w:val="24"/>
              </w:rPr>
              <w:t xml:space="preserve">Health </w:t>
            </w:r>
          </w:p>
        </w:tc>
      </w:tr>
      <w:tr w:rsidR="00590C66" w:rsidRPr="00517D44" w14:paraId="7F0A00F0" w14:textId="77777777" w:rsidTr="000B0350">
        <w:trPr>
          <w:trHeight w:val="315"/>
        </w:trPr>
        <w:tc>
          <w:tcPr>
            <w:tcW w:w="2074" w:type="dxa"/>
            <w:tcBorders>
              <w:top w:val="nil"/>
              <w:left w:val="nil"/>
              <w:bottom w:val="nil"/>
              <w:right w:val="nil"/>
            </w:tcBorders>
            <w:shd w:val="clear" w:color="auto" w:fill="auto"/>
            <w:noWrap/>
            <w:vAlign w:val="bottom"/>
            <w:hideMark/>
          </w:tcPr>
          <w:p w14:paraId="1D68E214" w14:textId="77777777" w:rsidR="00590C66" w:rsidRPr="00517D44" w:rsidRDefault="00590C66" w:rsidP="004D3F4E">
            <w:pPr>
              <w:spacing w:before="40" w:after="40" w:line="360" w:lineRule="auto"/>
              <w:jc w:val="center"/>
              <w:rPr>
                <w:szCs w:val="24"/>
              </w:rPr>
            </w:pPr>
            <w:r w:rsidRPr="00517D44">
              <w:rPr>
                <w:szCs w:val="24"/>
              </w:rPr>
              <w:t>K</w:t>
            </w:r>
          </w:p>
        </w:tc>
        <w:tc>
          <w:tcPr>
            <w:tcW w:w="31680" w:type="dxa"/>
            <w:tcBorders>
              <w:top w:val="nil"/>
              <w:left w:val="nil"/>
              <w:bottom w:val="nil"/>
              <w:right w:val="nil"/>
            </w:tcBorders>
          </w:tcPr>
          <w:p w14:paraId="6D08A0B4" w14:textId="77777777" w:rsidR="00590C66" w:rsidRPr="00517D44" w:rsidRDefault="00590C66" w:rsidP="004D3F4E">
            <w:pPr>
              <w:spacing w:before="40" w:after="40" w:line="360" w:lineRule="auto"/>
              <w:jc w:val="left"/>
              <w:rPr>
                <w:szCs w:val="24"/>
              </w:rPr>
            </w:pPr>
            <w:r w:rsidRPr="00517D44">
              <w:rPr>
                <w:szCs w:val="24"/>
              </w:rPr>
              <w:t>Administration of Justice</w:t>
            </w:r>
          </w:p>
        </w:tc>
      </w:tr>
      <w:tr w:rsidR="00590C66" w:rsidRPr="00517D44" w14:paraId="17099DB1" w14:textId="77777777" w:rsidTr="000B0350">
        <w:trPr>
          <w:trHeight w:val="315"/>
        </w:trPr>
        <w:tc>
          <w:tcPr>
            <w:tcW w:w="2074" w:type="dxa"/>
            <w:tcBorders>
              <w:top w:val="nil"/>
              <w:left w:val="nil"/>
              <w:bottom w:val="nil"/>
              <w:right w:val="nil"/>
            </w:tcBorders>
            <w:shd w:val="clear" w:color="auto" w:fill="auto"/>
            <w:noWrap/>
            <w:vAlign w:val="bottom"/>
            <w:hideMark/>
          </w:tcPr>
          <w:p w14:paraId="3DD2F897" w14:textId="77777777" w:rsidR="00590C66" w:rsidRPr="00517D44" w:rsidRDefault="00590C66" w:rsidP="004D3F4E">
            <w:pPr>
              <w:spacing w:before="40" w:after="40" w:line="360" w:lineRule="auto"/>
              <w:jc w:val="center"/>
              <w:rPr>
                <w:szCs w:val="24"/>
              </w:rPr>
            </w:pPr>
            <w:r w:rsidRPr="00517D44">
              <w:rPr>
                <w:szCs w:val="24"/>
              </w:rPr>
              <w:t>L</w:t>
            </w:r>
          </w:p>
        </w:tc>
        <w:tc>
          <w:tcPr>
            <w:tcW w:w="31680" w:type="dxa"/>
            <w:tcBorders>
              <w:top w:val="nil"/>
              <w:left w:val="nil"/>
              <w:bottom w:val="nil"/>
              <w:right w:val="nil"/>
            </w:tcBorders>
          </w:tcPr>
          <w:p w14:paraId="0D231C84" w14:textId="77777777" w:rsidR="00590C66" w:rsidRPr="00517D44" w:rsidRDefault="00590C66" w:rsidP="004D3F4E">
            <w:pPr>
              <w:spacing w:before="40" w:after="40" w:line="360" w:lineRule="auto"/>
              <w:jc w:val="left"/>
              <w:rPr>
                <w:szCs w:val="24"/>
              </w:rPr>
            </w:pPr>
            <w:r w:rsidRPr="00517D44">
              <w:rPr>
                <w:szCs w:val="24"/>
              </w:rPr>
              <w:t>Social Services</w:t>
            </w:r>
          </w:p>
        </w:tc>
      </w:tr>
      <w:tr w:rsidR="00590C66" w:rsidRPr="00517D44" w14:paraId="68A5E388" w14:textId="77777777" w:rsidTr="000B0350">
        <w:trPr>
          <w:trHeight w:val="315"/>
        </w:trPr>
        <w:tc>
          <w:tcPr>
            <w:tcW w:w="2074" w:type="dxa"/>
            <w:tcBorders>
              <w:top w:val="nil"/>
              <w:left w:val="nil"/>
              <w:bottom w:val="nil"/>
              <w:right w:val="nil"/>
            </w:tcBorders>
            <w:shd w:val="clear" w:color="auto" w:fill="auto"/>
            <w:noWrap/>
            <w:vAlign w:val="bottom"/>
            <w:hideMark/>
          </w:tcPr>
          <w:p w14:paraId="66F34971" w14:textId="77777777" w:rsidR="00590C66" w:rsidRPr="00517D44" w:rsidRDefault="00590C66" w:rsidP="004D3F4E">
            <w:pPr>
              <w:spacing w:before="40" w:after="40" w:line="360" w:lineRule="auto"/>
              <w:jc w:val="center"/>
              <w:rPr>
                <w:szCs w:val="24"/>
              </w:rPr>
            </w:pPr>
            <w:r w:rsidRPr="00517D44">
              <w:rPr>
                <w:szCs w:val="24"/>
              </w:rPr>
              <w:t>N</w:t>
            </w:r>
          </w:p>
        </w:tc>
        <w:tc>
          <w:tcPr>
            <w:tcW w:w="31680" w:type="dxa"/>
            <w:tcBorders>
              <w:top w:val="nil"/>
              <w:left w:val="nil"/>
              <w:bottom w:val="nil"/>
              <w:right w:val="nil"/>
            </w:tcBorders>
          </w:tcPr>
          <w:p w14:paraId="4F14B663" w14:textId="77777777" w:rsidR="00590C66" w:rsidRPr="00517D44" w:rsidRDefault="00590C66" w:rsidP="004D3F4E">
            <w:pPr>
              <w:spacing w:before="40" w:after="40" w:line="360" w:lineRule="auto"/>
              <w:jc w:val="left"/>
              <w:rPr>
                <w:szCs w:val="24"/>
              </w:rPr>
            </w:pPr>
            <w:r w:rsidRPr="00517D44">
              <w:rPr>
                <w:szCs w:val="24"/>
              </w:rPr>
              <w:t>Administration of Justice</w:t>
            </w:r>
          </w:p>
        </w:tc>
      </w:tr>
      <w:tr w:rsidR="00590C66" w:rsidRPr="00517D44" w14:paraId="38732EE3" w14:textId="77777777" w:rsidTr="000B0350">
        <w:trPr>
          <w:trHeight w:val="315"/>
        </w:trPr>
        <w:tc>
          <w:tcPr>
            <w:tcW w:w="2074" w:type="dxa"/>
            <w:tcBorders>
              <w:top w:val="nil"/>
              <w:left w:val="nil"/>
              <w:bottom w:val="nil"/>
              <w:right w:val="nil"/>
            </w:tcBorders>
            <w:shd w:val="clear" w:color="auto" w:fill="auto"/>
            <w:noWrap/>
            <w:vAlign w:val="bottom"/>
            <w:hideMark/>
          </w:tcPr>
          <w:p w14:paraId="3F16C401" w14:textId="77777777" w:rsidR="00590C66" w:rsidRPr="00517D44" w:rsidRDefault="00590C66" w:rsidP="004D3F4E">
            <w:pPr>
              <w:spacing w:before="40" w:after="40" w:line="360" w:lineRule="auto"/>
              <w:jc w:val="center"/>
              <w:rPr>
                <w:szCs w:val="24"/>
              </w:rPr>
            </w:pPr>
            <w:r w:rsidRPr="00517D44">
              <w:rPr>
                <w:szCs w:val="24"/>
              </w:rPr>
              <w:t>P</w:t>
            </w:r>
          </w:p>
        </w:tc>
        <w:tc>
          <w:tcPr>
            <w:tcW w:w="31680" w:type="dxa"/>
            <w:tcBorders>
              <w:top w:val="nil"/>
              <w:left w:val="nil"/>
              <w:bottom w:val="nil"/>
              <w:right w:val="nil"/>
            </w:tcBorders>
          </w:tcPr>
          <w:p w14:paraId="6F700B6C" w14:textId="3C7BEDBC" w:rsidR="00590C66" w:rsidRPr="00517D44" w:rsidRDefault="00590C66" w:rsidP="004D3F4E">
            <w:pPr>
              <w:spacing w:before="40" w:after="40" w:line="360" w:lineRule="auto"/>
              <w:jc w:val="left"/>
              <w:rPr>
                <w:szCs w:val="24"/>
              </w:rPr>
            </w:pPr>
            <w:r w:rsidRPr="00517D44">
              <w:rPr>
                <w:szCs w:val="24"/>
              </w:rPr>
              <w:t>Resources</w:t>
            </w:r>
            <w:r>
              <w:rPr>
                <w:szCs w:val="24"/>
              </w:rPr>
              <w:t>, Environment, and</w:t>
            </w:r>
            <w:r w:rsidRPr="00517D44">
              <w:rPr>
                <w:szCs w:val="24"/>
              </w:rPr>
              <w:t xml:space="preserve"> Economic Development</w:t>
            </w:r>
          </w:p>
        </w:tc>
      </w:tr>
      <w:tr w:rsidR="00590C66" w:rsidRPr="00517D44" w14:paraId="3F1DA48D" w14:textId="77777777" w:rsidTr="000B0350">
        <w:trPr>
          <w:trHeight w:val="315"/>
        </w:trPr>
        <w:tc>
          <w:tcPr>
            <w:tcW w:w="2074" w:type="dxa"/>
            <w:tcBorders>
              <w:top w:val="nil"/>
              <w:left w:val="nil"/>
              <w:bottom w:val="nil"/>
              <w:right w:val="nil"/>
            </w:tcBorders>
            <w:shd w:val="clear" w:color="auto" w:fill="auto"/>
            <w:noWrap/>
            <w:vAlign w:val="bottom"/>
            <w:hideMark/>
          </w:tcPr>
          <w:p w14:paraId="35DA8FA9" w14:textId="77777777" w:rsidR="00590C66" w:rsidRPr="00517D44" w:rsidRDefault="00590C66" w:rsidP="004D3F4E">
            <w:pPr>
              <w:spacing w:before="40" w:after="40" w:line="360" w:lineRule="auto"/>
              <w:jc w:val="center"/>
              <w:rPr>
                <w:szCs w:val="24"/>
              </w:rPr>
            </w:pPr>
            <w:r w:rsidRPr="00517D44">
              <w:rPr>
                <w:szCs w:val="24"/>
              </w:rPr>
              <w:t>R</w:t>
            </w:r>
          </w:p>
        </w:tc>
        <w:tc>
          <w:tcPr>
            <w:tcW w:w="31680" w:type="dxa"/>
            <w:tcBorders>
              <w:top w:val="nil"/>
              <w:left w:val="nil"/>
              <w:bottom w:val="nil"/>
              <w:right w:val="nil"/>
            </w:tcBorders>
          </w:tcPr>
          <w:p w14:paraId="7514EEE4" w14:textId="77777777" w:rsidR="00590C66" w:rsidRPr="00517D44" w:rsidRDefault="00590C66" w:rsidP="004D3F4E">
            <w:pPr>
              <w:spacing w:before="40" w:after="40" w:line="360" w:lineRule="auto"/>
              <w:jc w:val="left"/>
              <w:rPr>
                <w:szCs w:val="24"/>
              </w:rPr>
            </w:pPr>
            <w:r w:rsidRPr="00517D44">
              <w:rPr>
                <w:szCs w:val="24"/>
              </w:rPr>
              <w:t>General Governmental</w:t>
            </w:r>
          </w:p>
        </w:tc>
      </w:tr>
      <w:tr w:rsidR="00590C66" w:rsidRPr="00517D44" w14:paraId="3674E8B8" w14:textId="77777777" w:rsidTr="000B0350">
        <w:trPr>
          <w:trHeight w:val="315"/>
        </w:trPr>
        <w:tc>
          <w:tcPr>
            <w:tcW w:w="2074" w:type="dxa"/>
            <w:tcBorders>
              <w:top w:val="nil"/>
              <w:left w:val="nil"/>
              <w:bottom w:val="nil"/>
              <w:right w:val="nil"/>
            </w:tcBorders>
            <w:shd w:val="clear" w:color="auto" w:fill="auto"/>
            <w:noWrap/>
            <w:vAlign w:val="bottom"/>
            <w:hideMark/>
          </w:tcPr>
          <w:p w14:paraId="6F3E9BA6" w14:textId="77777777" w:rsidR="00590C66" w:rsidRPr="00517D44" w:rsidRDefault="00590C66" w:rsidP="004D3F4E">
            <w:pPr>
              <w:spacing w:before="40" w:after="40" w:line="360" w:lineRule="auto"/>
              <w:jc w:val="center"/>
              <w:rPr>
                <w:szCs w:val="24"/>
              </w:rPr>
            </w:pPr>
            <w:r w:rsidRPr="00517D44">
              <w:rPr>
                <w:szCs w:val="24"/>
              </w:rPr>
              <w:t>S</w:t>
            </w:r>
          </w:p>
        </w:tc>
        <w:tc>
          <w:tcPr>
            <w:tcW w:w="31680" w:type="dxa"/>
            <w:tcBorders>
              <w:top w:val="nil"/>
              <w:left w:val="nil"/>
              <w:bottom w:val="nil"/>
              <w:right w:val="nil"/>
            </w:tcBorders>
          </w:tcPr>
          <w:p w14:paraId="48B72E38" w14:textId="77777777" w:rsidR="00590C66" w:rsidRPr="00517D44" w:rsidRDefault="00590C66" w:rsidP="004D3F4E">
            <w:pPr>
              <w:spacing w:before="40" w:after="40" w:line="360" w:lineRule="auto"/>
              <w:jc w:val="left"/>
              <w:rPr>
                <w:szCs w:val="24"/>
              </w:rPr>
            </w:pPr>
            <w:r w:rsidRPr="00517D44">
              <w:rPr>
                <w:szCs w:val="24"/>
              </w:rPr>
              <w:t>General Governmental</w:t>
            </w:r>
          </w:p>
        </w:tc>
      </w:tr>
      <w:tr w:rsidR="00590C66" w:rsidRPr="00517D44" w14:paraId="334DDA9D" w14:textId="77777777" w:rsidTr="000B0350">
        <w:trPr>
          <w:trHeight w:val="315"/>
        </w:trPr>
        <w:tc>
          <w:tcPr>
            <w:tcW w:w="2074" w:type="dxa"/>
            <w:tcBorders>
              <w:top w:val="nil"/>
              <w:left w:val="nil"/>
              <w:bottom w:val="nil"/>
              <w:right w:val="nil"/>
            </w:tcBorders>
            <w:shd w:val="clear" w:color="auto" w:fill="auto"/>
            <w:noWrap/>
            <w:vAlign w:val="bottom"/>
            <w:hideMark/>
          </w:tcPr>
          <w:p w14:paraId="3E10B489" w14:textId="77777777" w:rsidR="00590C66" w:rsidRPr="00517D44" w:rsidRDefault="00590C66" w:rsidP="004D3F4E">
            <w:pPr>
              <w:spacing w:before="40" w:after="40" w:line="360" w:lineRule="auto"/>
              <w:jc w:val="center"/>
              <w:rPr>
                <w:szCs w:val="24"/>
              </w:rPr>
            </w:pPr>
            <w:r w:rsidRPr="00517D44">
              <w:rPr>
                <w:szCs w:val="24"/>
              </w:rPr>
              <w:t>U</w:t>
            </w:r>
          </w:p>
        </w:tc>
        <w:tc>
          <w:tcPr>
            <w:tcW w:w="31680" w:type="dxa"/>
            <w:tcBorders>
              <w:top w:val="nil"/>
              <w:left w:val="nil"/>
              <w:bottom w:val="nil"/>
              <w:right w:val="nil"/>
            </w:tcBorders>
          </w:tcPr>
          <w:p w14:paraId="435BC97F" w14:textId="77777777" w:rsidR="00590C66" w:rsidRPr="00517D44" w:rsidRDefault="00590C66" w:rsidP="004D3F4E">
            <w:pPr>
              <w:spacing w:before="40" w:after="40" w:line="360" w:lineRule="auto"/>
              <w:jc w:val="left"/>
              <w:rPr>
                <w:szCs w:val="24"/>
              </w:rPr>
            </w:pPr>
            <w:r w:rsidRPr="00517D44">
              <w:rPr>
                <w:szCs w:val="24"/>
              </w:rPr>
              <w:t>Transportation</w:t>
            </w:r>
          </w:p>
        </w:tc>
      </w:tr>
      <w:tr w:rsidR="00590C66" w:rsidRPr="00517D44" w14:paraId="4BF5DB02" w14:textId="77777777" w:rsidTr="000B0350">
        <w:trPr>
          <w:trHeight w:val="315"/>
        </w:trPr>
        <w:tc>
          <w:tcPr>
            <w:tcW w:w="2074" w:type="dxa"/>
            <w:tcBorders>
              <w:top w:val="nil"/>
              <w:left w:val="nil"/>
              <w:bottom w:val="nil"/>
              <w:right w:val="nil"/>
            </w:tcBorders>
            <w:shd w:val="clear" w:color="auto" w:fill="auto"/>
            <w:noWrap/>
            <w:vAlign w:val="bottom"/>
            <w:hideMark/>
          </w:tcPr>
          <w:p w14:paraId="601D42E3" w14:textId="77777777" w:rsidR="00590C66" w:rsidRPr="00517D44" w:rsidRDefault="00590C66" w:rsidP="004D3F4E">
            <w:pPr>
              <w:spacing w:before="40" w:after="40" w:line="360" w:lineRule="auto"/>
              <w:jc w:val="center"/>
              <w:rPr>
                <w:szCs w:val="24"/>
              </w:rPr>
            </w:pPr>
            <w:r w:rsidRPr="00517D44">
              <w:rPr>
                <w:szCs w:val="24"/>
              </w:rPr>
              <w:t>X</w:t>
            </w:r>
          </w:p>
        </w:tc>
        <w:tc>
          <w:tcPr>
            <w:tcW w:w="31680" w:type="dxa"/>
            <w:tcBorders>
              <w:top w:val="nil"/>
              <w:left w:val="nil"/>
              <w:bottom w:val="nil"/>
              <w:right w:val="nil"/>
            </w:tcBorders>
          </w:tcPr>
          <w:p w14:paraId="3F80D19A" w14:textId="77777777" w:rsidR="00590C66" w:rsidRPr="00517D44" w:rsidRDefault="00590C66" w:rsidP="004D3F4E">
            <w:pPr>
              <w:spacing w:before="40" w:after="40" w:line="360" w:lineRule="auto"/>
              <w:jc w:val="left"/>
              <w:rPr>
                <w:szCs w:val="24"/>
              </w:rPr>
            </w:pPr>
            <w:r w:rsidRPr="00517D44">
              <w:rPr>
                <w:szCs w:val="24"/>
              </w:rPr>
              <w:t>Intergovernmental</w:t>
            </w:r>
          </w:p>
        </w:tc>
      </w:tr>
    </w:tbl>
    <w:p w14:paraId="31DFC24E" w14:textId="77777777" w:rsidR="00517D44" w:rsidRDefault="00517D44" w:rsidP="00D764B2"/>
    <w:p w14:paraId="702DF75C" w14:textId="77777777" w:rsidR="002B5AA2" w:rsidRDefault="002B5AA2">
      <w:pPr>
        <w:spacing w:before="0" w:after="0"/>
        <w:jc w:val="left"/>
      </w:pPr>
      <w:r>
        <w:br w:type="page"/>
      </w:r>
    </w:p>
    <w:p w14:paraId="2E777A23" w14:textId="77777777" w:rsidR="0012040B" w:rsidRDefault="002B5AA2" w:rsidP="003B02BA">
      <w:pPr>
        <w:pStyle w:val="Heading2"/>
      </w:pPr>
      <w:bookmarkStart w:id="412" w:name="_Toc166149314"/>
      <w:r>
        <w:lastRenderedPageBreak/>
        <w:t>APPENDIX C—</w:t>
      </w:r>
      <w:r w:rsidRPr="002B5AA2">
        <w:t xml:space="preserve"> </w:t>
      </w:r>
      <w:r>
        <w:t>STATE RISK MANAGEMENT ACTIVITIES</w:t>
      </w:r>
      <w:bookmarkEnd w:id="412"/>
    </w:p>
    <w:p w14:paraId="389551FA" w14:textId="77777777" w:rsidR="00B26EE2" w:rsidRDefault="00B26EE2" w:rsidP="00FA499A">
      <w:pPr>
        <w:pStyle w:val="Heading6"/>
      </w:pPr>
      <w:r>
        <w:t>GENERAL INFORMATION</w:t>
      </w:r>
    </w:p>
    <w:p w14:paraId="5376C5AD" w14:textId="77777777" w:rsidR="00B26EE2" w:rsidRDefault="00B26EE2" w:rsidP="00B26EE2">
      <w:pPr>
        <w:spacing w:after="60"/>
      </w:pPr>
      <w:r>
        <w:t>Listed below are all risk management activities of which the Comptroller General's Office is currently aware.  If your agency participates in or sponsors a risk management activity not listed below, please identify and describe this activity as requested in the Master Reporting Package Checklist (</w:t>
      </w:r>
      <w:r w:rsidR="00054A4C">
        <w:t>Form 2.0.1).</w:t>
      </w:r>
    </w:p>
    <w:p w14:paraId="0E8A603B" w14:textId="29C0A50F" w:rsidR="00B26EE2" w:rsidRDefault="00B26EE2" w:rsidP="00B26EE2">
      <w:pPr>
        <w:pStyle w:val="Bullet10"/>
        <w:spacing w:before="40" w:after="40"/>
        <w:ind w:hanging="360"/>
      </w:pPr>
      <w:r>
        <w:t>o</w:t>
      </w:r>
      <w:r>
        <w:tab/>
        <w:t xml:space="preserve">Property and casualty losses managed by the Insurance Reserve Fund within the </w:t>
      </w:r>
      <w:r w:rsidR="00C23E00">
        <w:t>State Fiscal Accountability Authority</w:t>
      </w:r>
    </w:p>
    <w:p w14:paraId="6D9A7DDD" w14:textId="5E88E892" w:rsidR="00B26EE2" w:rsidRDefault="00B26EE2" w:rsidP="00B26EE2">
      <w:pPr>
        <w:pStyle w:val="Bullet10"/>
        <w:spacing w:before="40" w:after="40"/>
        <w:ind w:hanging="360"/>
      </w:pPr>
      <w:r>
        <w:t>o</w:t>
      </w:r>
      <w:r>
        <w:tab/>
        <w:t xml:space="preserve">Health and Dental Benefits managed by the Employee Insurance Programs within the </w:t>
      </w:r>
      <w:r w:rsidR="00C23E00">
        <w:t>Public Employee Benefit Authority</w:t>
      </w:r>
    </w:p>
    <w:p w14:paraId="5ADB7D98" w14:textId="454F04C0" w:rsidR="00B26EE2" w:rsidRDefault="00B26EE2" w:rsidP="00B26EE2">
      <w:pPr>
        <w:pStyle w:val="Bullet10"/>
        <w:spacing w:before="40" w:after="40"/>
        <w:ind w:hanging="360"/>
      </w:pPr>
      <w:r>
        <w:t>o</w:t>
      </w:r>
      <w:r>
        <w:tab/>
        <w:t xml:space="preserve">Long-term disability and life plans administered by the </w:t>
      </w:r>
      <w:r w:rsidR="00C23E00">
        <w:t>Public Employee Benefit Authority</w:t>
      </w:r>
    </w:p>
    <w:p w14:paraId="316E293B" w14:textId="77777777" w:rsidR="00B26EE2" w:rsidRDefault="00B26EE2" w:rsidP="00B26EE2">
      <w:pPr>
        <w:pStyle w:val="Bullet10"/>
        <w:spacing w:before="40" w:after="40"/>
        <w:ind w:hanging="360"/>
      </w:pPr>
      <w:r>
        <w:t>o</w:t>
      </w:r>
      <w:r>
        <w:tab/>
        <w:t>Workers' compensation for State employees administered by the State Accident Fund</w:t>
      </w:r>
    </w:p>
    <w:p w14:paraId="6A307D52" w14:textId="77777777" w:rsidR="00B26EE2" w:rsidRDefault="00B26EE2" w:rsidP="00B26EE2">
      <w:pPr>
        <w:pStyle w:val="Bullet10"/>
        <w:spacing w:before="40" w:after="40"/>
        <w:ind w:hanging="360"/>
      </w:pPr>
      <w:r>
        <w:t>o</w:t>
      </w:r>
      <w:r>
        <w:tab/>
        <w:t>Unemployment compensation for State employees</w:t>
      </w:r>
    </w:p>
    <w:p w14:paraId="6144982A" w14:textId="77777777" w:rsidR="00B26EE2" w:rsidRDefault="00B26EE2" w:rsidP="00B26EE2">
      <w:pPr>
        <w:pStyle w:val="Bullet10"/>
        <w:spacing w:before="40" w:after="40"/>
        <w:ind w:hanging="360"/>
      </w:pPr>
      <w:r>
        <w:t>o</w:t>
      </w:r>
      <w:r>
        <w:tab/>
        <w:t>Patients' Compensation Fund</w:t>
      </w:r>
    </w:p>
    <w:p w14:paraId="1F8E7A3F" w14:textId="77777777" w:rsidR="00B26EE2" w:rsidRDefault="00B26EE2" w:rsidP="00B26EE2">
      <w:pPr>
        <w:pStyle w:val="Bullet10"/>
        <w:spacing w:before="40" w:after="40"/>
        <w:ind w:hanging="360"/>
      </w:pPr>
      <w:r>
        <w:t>o</w:t>
      </w:r>
      <w:r>
        <w:tab/>
        <w:t>Medical Malpractice Joint Underwriting Association</w:t>
      </w:r>
    </w:p>
    <w:p w14:paraId="37F48772" w14:textId="77777777" w:rsidR="00B26EE2" w:rsidRDefault="00B26EE2" w:rsidP="00B26EE2">
      <w:pPr>
        <w:pStyle w:val="Bullet10"/>
        <w:spacing w:before="40" w:after="40"/>
        <w:ind w:hanging="360"/>
      </w:pPr>
      <w:r>
        <w:t>o</w:t>
      </w:r>
      <w:r>
        <w:tab/>
        <w:t>Workers' Compensation Uninsured Employers' Fund administered by the Second Injury Fund</w:t>
      </w:r>
    </w:p>
    <w:p w14:paraId="3AFD01F9" w14:textId="77777777" w:rsidR="00B26EE2" w:rsidRDefault="00B26EE2" w:rsidP="00B26EE2">
      <w:pPr>
        <w:pStyle w:val="Bullet10"/>
        <w:spacing w:before="40" w:after="40"/>
        <w:ind w:hanging="360"/>
      </w:pPr>
      <w:r>
        <w:t>o</w:t>
      </w:r>
      <w:r>
        <w:tab/>
        <w:t>South Carolina Health Access Plan administered by Health and Human Services Finance Commission</w:t>
      </w:r>
    </w:p>
    <w:p w14:paraId="174173F8" w14:textId="77777777" w:rsidR="00B26EE2" w:rsidRDefault="00B26EE2" w:rsidP="00B26EE2">
      <w:pPr>
        <w:pStyle w:val="Bullet10"/>
        <w:spacing w:before="40" w:after="40"/>
        <w:ind w:hanging="360"/>
      </w:pPr>
      <w:r>
        <w:t>o</w:t>
      </w:r>
      <w:r>
        <w:tab/>
        <w:t>Employee Honesty/Fidelity/Surety Bonds (commercial insurers)</w:t>
      </w:r>
    </w:p>
    <w:p w14:paraId="450AA1A6" w14:textId="77777777" w:rsidR="00B26EE2" w:rsidRDefault="00B26EE2" w:rsidP="00B26EE2">
      <w:pPr>
        <w:pStyle w:val="Bullet10"/>
        <w:spacing w:before="40" w:after="40"/>
        <w:ind w:hanging="360"/>
      </w:pPr>
      <w:r>
        <w:t>o</w:t>
      </w:r>
      <w:r>
        <w:tab/>
        <w:t>Floater Registered Mail (commercial insurer)</w:t>
      </w:r>
    </w:p>
    <w:p w14:paraId="43E82BC1" w14:textId="77777777" w:rsidR="00B26EE2" w:rsidRDefault="00B26EE2" w:rsidP="00B26EE2">
      <w:pPr>
        <w:pStyle w:val="Bullet10"/>
        <w:spacing w:before="40" w:after="40"/>
        <w:ind w:hanging="360"/>
      </w:pPr>
      <w:r>
        <w:t>o</w:t>
      </w:r>
      <w:r>
        <w:tab/>
        <w:t>State Treasurer's Bond (commercial insurer)</w:t>
      </w:r>
    </w:p>
    <w:p w14:paraId="3CE36BC5" w14:textId="77777777" w:rsidR="00B26EE2" w:rsidRDefault="00B26EE2" w:rsidP="00B26EE2">
      <w:pPr>
        <w:pStyle w:val="Bullet10"/>
        <w:spacing w:before="40" w:after="40"/>
        <w:ind w:hanging="360"/>
      </w:pPr>
      <w:r>
        <w:t>o</w:t>
      </w:r>
      <w:r>
        <w:tab/>
        <w:t>Student Accident Insurance for "Special Schools Trainees" (commercial insurer)</w:t>
      </w:r>
    </w:p>
    <w:p w14:paraId="7BAA4A8A" w14:textId="77777777" w:rsidR="00B26EE2" w:rsidRDefault="00B26EE2" w:rsidP="00B26EE2">
      <w:pPr>
        <w:pStyle w:val="Bullet10"/>
        <w:spacing w:before="40" w:after="40"/>
        <w:ind w:hanging="360"/>
      </w:pPr>
      <w:r>
        <w:t>o</w:t>
      </w:r>
      <w:r>
        <w:tab/>
        <w:t>Media Special Perils Policy</w:t>
      </w:r>
      <w:r>
        <w:noBreakHyphen/>
      </w:r>
      <w:r>
        <w:noBreakHyphen/>
        <w:t>Multimedia Coverage (commercial insurer)</w:t>
      </w:r>
    </w:p>
    <w:p w14:paraId="4EFA9880" w14:textId="77777777" w:rsidR="00B26EE2" w:rsidRDefault="00B26EE2" w:rsidP="00B26EE2">
      <w:pPr>
        <w:pStyle w:val="Bullet10"/>
        <w:spacing w:before="40" w:after="40"/>
        <w:ind w:hanging="360"/>
      </w:pPr>
      <w:r>
        <w:t>o</w:t>
      </w:r>
      <w:r>
        <w:tab/>
        <w:t>Accident Policy for Volunteers (commercial insurer)</w:t>
      </w:r>
    </w:p>
    <w:p w14:paraId="7EB956D0" w14:textId="77777777" w:rsidR="00B26EE2" w:rsidRDefault="00B26EE2" w:rsidP="00B26EE2">
      <w:pPr>
        <w:pStyle w:val="Bullet10"/>
        <w:spacing w:before="40" w:after="40"/>
        <w:ind w:hanging="360"/>
      </w:pPr>
      <w:r>
        <w:t>o</w:t>
      </w:r>
      <w:r>
        <w:tab/>
        <w:t>Campers' Medical Accident &amp; Illness Insurance on Campers at Camp Burnt Gin (commercial insurer)</w:t>
      </w:r>
    </w:p>
    <w:p w14:paraId="2744747B" w14:textId="77777777" w:rsidR="00B26EE2" w:rsidRDefault="00B26EE2" w:rsidP="00B26EE2">
      <w:pPr>
        <w:pStyle w:val="Bullet10"/>
        <w:spacing w:before="40" w:after="40"/>
        <w:ind w:hanging="360"/>
      </w:pPr>
      <w:r>
        <w:t>o</w:t>
      </w:r>
      <w:r>
        <w:tab/>
      </w:r>
      <w:proofErr w:type="gramStart"/>
      <w:r>
        <w:t>Foster</w:t>
      </w:r>
      <w:proofErr w:type="gramEnd"/>
      <w:r>
        <w:t xml:space="preserve"> family or DSS employee claims for damages by foster children (self-insured by Department of Social Services; $500 maximum compensation for foster family and $250 maximum compensation for DSS employee for each occurrence with a $50 deductible per occurrence)</w:t>
      </w:r>
    </w:p>
    <w:p w14:paraId="08356389" w14:textId="77777777" w:rsidR="00B26EE2" w:rsidRDefault="00B26EE2" w:rsidP="00B26EE2">
      <w:pPr>
        <w:pStyle w:val="Bullet10"/>
        <w:spacing w:before="40" w:after="40"/>
        <w:ind w:hanging="360"/>
      </w:pPr>
      <w:r>
        <w:t>o</w:t>
      </w:r>
      <w:r>
        <w:tab/>
        <w:t>Food Stamp Mail Loss (commercial insurer)</w:t>
      </w:r>
    </w:p>
    <w:p w14:paraId="033831E0" w14:textId="77777777" w:rsidR="00B26EE2" w:rsidRDefault="00B26EE2" w:rsidP="00B26EE2">
      <w:pPr>
        <w:pStyle w:val="Bullet10"/>
        <w:spacing w:before="40" w:after="40"/>
        <w:ind w:hanging="360"/>
      </w:pPr>
      <w:r>
        <w:t>o</w:t>
      </w:r>
      <w:r>
        <w:tab/>
        <w:t>State Constable Bonds (commercial insurers)</w:t>
      </w:r>
    </w:p>
    <w:p w14:paraId="1DDE0D35" w14:textId="77777777" w:rsidR="00B26EE2" w:rsidRDefault="00B26EE2" w:rsidP="00B26EE2">
      <w:pPr>
        <w:pStyle w:val="Bullet10"/>
        <w:spacing w:before="40" w:after="40"/>
        <w:ind w:hanging="360"/>
      </w:pPr>
      <w:r>
        <w:t>o</w:t>
      </w:r>
      <w:r>
        <w:tab/>
        <w:t>Medical Liability for Work-related Injuries to Inmates (Self-insured by Department of Corrections)</w:t>
      </w:r>
    </w:p>
    <w:p w14:paraId="6AAD71E3" w14:textId="77777777" w:rsidR="00B26EE2" w:rsidRDefault="00B26EE2" w:rsidP="00B26EE2">
      <w:pPr>
        <w:pStyle w:val="Bullet10"/>
        <w:spacing w:before="40" w:after="40"/>
        <w:ind w:hanging="360"/>
      </w:pPr>
      <w:r>
        <w:t>o</w:t>
      </w:r>
      <w:r>
        <w:tab/>
        <w:t>Hazard Insurance on Stored Commodities in State Warehouses (commercial insurer)</w:t>
      </w:r>
    </w:p>
    <w:p w14:paraId="1AF6F4D3" w14:textId="77777777" w:rsidR="00B26EE2" w:rsidRDefault="00B26EE2" w:rsidP="00B26EE2">
      <w:pPr>
        <w:pStyle w:val="Bullet10"/>
        <w:spacing w:before="40" w:after="40"/>
        <w:ind w:hanging="360"/>
      </w:pPr>
      <w:r>
        <w:t>o</w:t>
      </w:r>
      <w:r>
        <w:tab/>
        <w:t>Liquor Bonds (commercial insurer)</w:t>
      </w:r>
    </w:p>
    <w:p w14:paraId="0F1AF096" w14:textId="77777777" w:rsidR="00B26EE2" w:rsidRDefault="00B26EE2" w:rsidP="00B26EE2">
      <w:pPr>
        <w:pStyle w:val="Bullet10"/>
        <w:spacing w:before="40" w:after="40"/>
        <w:ind w:hanging="360"/>
      </w:pPr>
      <w:r>
        <w:t>o</w:t>
      </w:r>
      <w:r>
        <w:tab/>
        <w:t>Commercial Crime Coverage (commercial insurer)</w:t>
      </w:r>
    </w:p>
    <w:p w14:paraId="178C6B3C" w14:textId="77777777" w:rsidR="00B26EE2" w:rsidRDefault="00B26EE2" w:rsidP="00B26EE2">
      <w:pPr>
        <w:pStyle w:val="Bullet10"/>
        <w:spacing w:before="40" w:after="40"/>
        <w:ind w:hanging="360"/>
      </w:pPr>
      <w:r>
        <w:t>o</w:t>
      </w:r>
      <w:r>
        <w:tab/>
        <w:t>Bond Pistol Permit (commercial insurer)</w:t>
      </w:r>
    </w:p>
    <w:p w14:paraId="00FA8DE1" w14:textId="77777777" w:rsidR="00B26EE2" w:rsidRDefault="00B26EE2" w:rsidP="00B26EE2">
      <w:pPr>
        <w:pStyle w:val="Bullet10"/>
        <w:spacing w:before="40" w:after="40"/>
        <w:ind w:hanging="360"/>
      </w:pPr>
      <w:r>
        <w:t>o</w:t>
      </w:r>
      <w:r>
        <w:tab/>
        <w:t>Vending Stand Facilities (self-insured by the South Carolina Commission for the Blind)</w:t>
      </w:r>
    </w:p>
    <w:p w14:paraId="2721A33E" w14:textId="77777777" w:rsidR="002B5AA2" w:rsidRDefault="00B26EE2" w:rsidP="008032D4">
      <w:pPr>
        <w:pStyle w:val="Bullet10"/>
        <w:spacing w:before="40" w:after="40"/>
        <w:ind w:hanging="360"/>
      </w:pPr>
      <w:r>
        <w:t>o</w:t>
      </w:r>
      <w:r>
        <w:tab/>
        <w:t>Collision and/or comprehensive losses on vehicles (self-insured by various agencies)</w:t>
      </w:r>
    </w:p>
    <w:p w14:paraId="50804556" w14:textId="77777777" w:rsidR="00A050D9" w:rsidRDefault="00A050D9" w:rsidP="003B02BA">
      <w:pPr>
        <w:pStyle w:val="Heading2"/>
      </w:pPr>
      <w:bookmarkStart w:id="413" w:name="_Toc166149315"/>
      <w:r>
        <w:lastRenderedPageBreak/>
        <w:t>APPENDIX D—</w:t>
      </w:r>
      <w:r w:rsidRPr="002B5AA2">
        <w:t xml:space="preserve"> </w:t>
      </w:r>
      <w:r>
        <w:t xml:space="preserve">STATE’S </w:t>
      </w:r>
      <w:r w:rsidR="00DF71A7">
        <w:t xml:space="preserve">FINANCIAL </w:t>
      </w:r>
      <w:r>
        <w:t>REPORTING ENTITY</w:t>
      </w:r>
      <w:bookmarkEnd w:id="413"/>
    </w:p>
    <w:p w14:paraId="63F0C1FA" w14:textId="77777777" w:rsidR="00A050D9" w:rsidRDefault="00A050D9" w:rsidP="00A050D9">
      <w:pPr>
        <w:pStyle w:val="Heading6"/>
      </w:pPr>
      <w:r>
        <w:t>STATE AGENCIES</w:t>
      </w:r>
    </w:p>
    <w:p w14:paraId="264E9227" w14:textId="77777777" w:rsidR="00565B06" w:rsidRPr="00E83033" w:rsidRDefault="00565B06" w:rsidP="00E83033">
      <w:pPr>
        <w:spacing w:before="0" w:after="0"/>
      </w:pPr>
      <w:r w:rsidRPr="00E83033">
        <w:t>Adjutant General</w:t>
      </w:r>
    </w:p>
    <w:p w14:paraId="2F499F16" w14:textId="77777777" w:rsidR="00565B06" w:rsidRPr="00E83033" w:rsidRDefault="00565B06" w:rsidP="00E83033">
      <w:pPr>
        <w:spacing w:before="0" w:after="0"/>
      </w:pPr>
      <w:r w:rsidRPr="00E83033">
        <w:t>Administrative Law Court</w:t>
      </w:r>
    </w:p>
    <w:p w14:paraId="3668DC52" w14:textId="77777777" w:rsidR="00565B06" w:rsidRPr="00E83033" w:rsidRDefault="00565B06" w:rsidP="00E83033">
      <w:pPr>
        <w:spacing w:before="0" w:after="0"/>
      </w:pPr>
      <w:r w:rsidRPr="00E83033">
        <w:t>Aeronautics Division</w:t>
      </w:r>
    </w:p>
    <w:p w14:paraId="6FD8FAA5" w14:textId="77777777" w:rsidR="00565B06" w:rsidRPr="00E83033" w:rsidRDefault="00565B06" w:rsidP="00E83033">
      <w:pPr>
        <w:spacing w:before="0" w:after="0"/>
      </w:pPr>
      <w:r w:rsidRPr="00E83033">
        <w:t>Arts Commission</w:t>
      </w:r>
    </w:p>
    <w:p w14:paraId="7214895E" w14:textId="77777777" w:rsidR="00565B06" w:rsidRPr="00E83033" w:rsidRDefault="00565B06" w:rsidP="00E83033">
      <w:pPr>
        <w:spacing w:before="0" w:after="0"/>
      </w:pPr>
      <w:r w:rsidRPr="00E83033">
        <w:t>Attorney General</w:t>
      </w:r>
      <w:r w:rsidR="003E5550">
        <w:t>’s Office</w:t>
      </w:r>
    </w:p>
    <w:p w14:paraId="18E6DE0D" w14:textId="77777777" w:rsidR="00565B06" w:rsidRPr="00E83033" w:rsidRDefault="00565B06" w:rsidP="00E83033">
      <w:pPr>
        <w:spacing w:before="0" w:after="0"/>
      </w:pPr>
      <w:r w:rsidRPr="00E83033">
        <w:t>Board of Financial Institutions</w:t>
      </w:r>
    </w:p>
    <w:p w14:paraId="6BE158C9" w14:textId="77777777" w:rsidR="003E5550" w:rsidRPr="00E83033" w:rsidRDefault="003E5550" w:rsidP="003E5550">
      <w:pPr>
        <w:spacing w:before="0" w:after="0"/>
      </w:pPr>
      <w:r w:rsidRPr="00E83033">
        <w:t xml:space="preserve">Commission </w:t>
      </w:r>
      <w:r>
        <w:t xml:space="preserve">for the </w:t>
      </w:r>
      <w:r w:rsidRPr="00E83033">
        <w:t xml:space="preserve">Blind </w:t>
      </w:r>
    </w:p>
    <w:p w14:paraId="3F17FC79" w14:textId="77777777" w:rsidR="0021478A" w:rsidRPr="00E83033" w:rsidRDefault="0021478A" w:rsidP="0021478A">
      <w:pPr>
        <w:spacing w:before="0" w:after="0"/>
      </w:pPr>
      <w:r w:rsidRPr="00E83033">
        <w:t xml:space="preserve">Commission </w:t>
      </w:r>
      <w:r>
        <w:t xml:space="preserve">on </w:t>
      </w:r>
      <w:r w:rsidRPr="00E83033">
        <w:t xml:space="preserve">Higher Education </w:t>
      </w:r>
    </w:p>
    <w:p w14:paraId="163D85B3" w14:textId="77777777" w:rsidR="00565B06" w:rsidRPr="00E83033" w:rsidRDefault="00565B06" w:rsidP="00E83033">
      <w:pPr>
        <w:spacing w:before="0" w:after="0"/>
      </w:pPr>
      <w:r w:rsidRPr="00E83033">
        <w:t>Commission on Indigent Defense</w:t>
      </w:r>
    </w:p>
    <w:p w14:paraId="513EF267" w14:textId="77777777" w:rsidR="00565B06" w:rsidRPr="00E83033" w:rsidRDefault="00565B06" w:rsidP="00E83033">
      <w:pPr>
        <w:spacing w:before="0" w:after="0"/>
      </w:pPr>
      <w:r w:rsidRPr="00E83033">
        <w:t xml:space="preserve">Commission on Prosecution Coordination </w:t>
      </w:r>
    </w:p>
    <w:p w14:paraId="76E6331B" w14:textId="77777777" w:rsidR="00565B06" w:rsidRDefault="00565B06" w:rsidP="00E83033">
      <w:pPr>
        <w:spacing w:before="0" w:after="0"/>
      </w:pPr>
      <w:r w:rsidRPr="00E83033">
        <w:t>Comptroller General</w:t>
      </w:r>
      <w:r w:rsidR="003E5550">
        <w:t>’s Office</w:t>
      </w:r>
    </w:p>
    <w:p w14:paraId="78437CE7" w14:textId="77777777" w:rsidR="00193D3D" w:rsidRPr="00E83033" w:rsidRDefault="00193D3D" w:rsidP="00E83033">
      <w:pPr>
        <w:spacing w:before="0" w:after="0"/>
      </w:pPr>
      <w:r>
        <w:t>Confederate Relic Room and Military Museum Commission</w:t>
      </w:r>
    </w:p>
    <w:p w14:paraId="501BB1EA" w14:textId="0BF0A608" w:rsidR="00193D3D" w:rsidRDefault="00193D3D" w:rsidP="00E83033">
      <w:pPr>
        <w:spacing w:before="0" w:after="0"/>
      </w:pPr>
      <w:r>
        <w:t>Department of Administration</w:t>
      </w:r>
    </w:p>
    <w:p w14:paraId="2A1E42C5" w14:textId="5A3BE7DE" w:rsidR="00D50556" w:rsidRDefault="00D50556" w:rsidP="00E83033">
      <w:pPr>
        <w:spacing w:before="0" w:after="0"/>
      </w:pPr>
      <w:r>
        <w:t>Department of Aging</w:t>
      </w:r>
    </w:p>
    <w:p w14:paraId="51852B8F" w14:textId="77777777" w:rsidR="003E5550" w:rsidRPr="00E83033" w:rsidRDefault="003E5550" w:rsidP="003E5550">
      <w:pPr>
        <w:spacing w:before="0" w:after="0"/>
      </w:pPr>
      <w:r w:rsidRPr="00E83033">
        <w:t xml:space="preserve">Department </w:t>
      </w:r>
      <w:r>
        <w:t xml:space="preserve">of </w:t>
      </w:r>
      <w:r w:rsidRPr="00E83033">
        <w:t xml:space="preserve">Agriculture </w:t>
      </w:r>
    </w:p>
    <w:p w14:paraId="7CE4E6B6" w14:textId="77777777" w:rsidR="00565B06" w:rsidRPr="00E83033" w:rsidRDefault="00565B06" w:rsidP="00E83033">
      <w:pPr>
        <w:spacing w:before="0" w:after="0"/>
      </w:pPr>
      <w:r w:rsidRPr="00E83033">
        <w:t>Department of Alcohol &amp; Other Drug Abuse</w:t>
      </w:r>
      <w:r w:rsidR="00D026E6">
        <w:t xml:space="preserve"> Services</w:t>
      </w:r>
    </w:p>
    <w:p w14:paraId="7473C52E" w14:textId="473B179C" w:rsidR="003E5550" w:rsidRDefault="003E5550" w:rsidP="003E5550">
      <w:pPr>
        <w:spacing w:before="0" w:after="0"/>
      </w:pPr>
      <w:r w:rsidRPr="00E83033">
        <w:t xml:space="preserve">Department </w:t>
      </w:r>
      <w:r>
        <w:t xml:space="preserve">of </w:t>
      </w:r>
      <w:r w:rsidRPr="00E83033">
        <w:t xml:space="preserve">Archives &amp; History </w:t>
      </w:r>
    </w:p>
    <w:p w14:paraId="4105A9AB" w14:textId="51DD0C55" w:rsidR="00D50556" w:rsidRPr="00E83033" w:rsidRDefault="00D50556" w:rsidP="003E5550">
      <w:pPr>
        <w:spacing w:before="0" w:after="0"/>
      </w:pPr>
      <w:r>
        <w:t>Department of Children’s Advocacy</w:t>
      </w:r>
    </w:p>
    <w:p w14:paraId="186079AA" w14:textId="77777777" w:rsidR="00565B06" w:rsidRPr="00E83033" w:rsidRDefault="00565B06" w:rsidP="00E83033">
      <w:pPr>
        <w:spacing w:before="0" w:after="0"/>
      </w:pPr>
      <w:r w:rsidRPr="00E83033">
        <w:t>Department of Commerce</w:t>
      </w:r>
    </w:p>
    <w:p w14:paraId="48281D4A" w14:textId="77777777" w:rsidR="00565B06" w:rsidRPr="00E83033" w:rsidRDefault="00565B06" w:rsidP="00E83033">
      <w:pPr>
        <w:spacing w:before="0" w:after="0"/>
      </w:pPr>
      <w:r w:rsidRPr="00E83033">
        <w:t>Department of Consumer Affairs</w:t>
      </w:r>
    </w:p>
    <w:p w14:paraId="45F87201" w14:textId="77777777" w:rsidR="003E5550" w:rsidRPr="00E83033" w:rsidRDefault="003E5550" w:rsidP="003E5550">
      <w:pPr>
        <w:spacing w:before="0" w:after="0"/>
      </w:pPr>
      <w:r w:rsidRPr="00E83033">
        <w:t xml:space="preserve">Department </w:t>
      </w:r>
      <w:r>
        <w:t xml:space="preserve">of </w:t>
      </w:r>
      <w:r w:rsidRPr="00E83033">
        <w:t xml:space="preserve">Corrections </w:t>
      </w:r>
    </w:p>
    <w:p w14:paraId="673A6D33" w14:textId="77777777" w:rsidR="00565B06" w:rsidRPr="00E83033" w:rsidRDefault="00565B06" w:rsidP="00E83033">
      <w:pPr>
        <w:spacing w:before="0" w:after="0"/>
      </w:pPr>
      <w:r w:rsidRPr="00E83033">
        <w:t>Department of Disabilities &amp; Special Needs</w:t>
      </w:r>
    </w:p>
    <w:p w14:paraId="477C1964" w14:textId="77777777" w:rsidR="00C27C5A" w:rsidRDefault="00C27C5A" w:rsidP="00C27C5A">
      <w:pPr>
        <w:spacing w:before="0" w:after="0"/>
      </w:pPr>
      <w:r w:rsidRPr="00E83033">
        <w:t xml:space="preserve">Department </w:t>
      </w:r>
      <w:r>
        <w:t xml:space="preserve">of </w:t>
      </w:r>
      <w:r w:rsidRPr="00E83033">
        <w:t xml:space="preserve">Education </w:t>
      </w:r>
    </w:p>
    <w:p w14:paraId="27C5D991" w14:textId="40A23B03" w:rsidR="000B0350" w:rsidRPr="00E83033" w:rsidRDefault="000B0350" w:rsidP="00C27C5A">
      <w:pPr>
        <w:spacing w:before="0" w:after="0"/>
      </w:pPr>
      <w:r>
        <w:t>Department of Environmental Services</w:t>
      </w:r>
    </w:p>
    <w:p w14:paraId="7EE6DF53" w14:textId="77777777" w:rsidR="00565B06" w:rsidRPr="00E83033" w:rsidRDefault="00565B06" w:rsidP="00E83033">
      <w:pPr>
        <w:spacing w:before="0" w:after="0"/>
      </w:pPr>
      <w:r w:rsidRPr="00E83033">
        <w:t>Department of Employment &amp; Workforce</w:t>
      </w:r>
    </w:p>
    <w:p w14:paraId="7A1276B9" w14:textId="0D659612" w:rsidR="0021478A" w:rsidRPr="00E83033" w:rsidRDefault="0021478A" w:rsidP="0021478A">
      <w:pPr>
        <w:spacing w:before="0" w:after="0"/>
      </w:pPr>
      <w:r w:rsidRPr="00E83033">
        <w:t xml:space="preserve">Department </w:t>
      </w:r>
      <w:r>
        <w:t xml:space="preserve">of </w:t>
      </w:r>
      <w:r w:rsidR="000B0350">
        <w:t>Public Health</w:t>
      </w:r>
      <w:r w:rsidRPr="00E83033">
        <w:t xml:space="preserve"> </w:t>
      </w:r>
    </w:p>
    <w:p w14:paraId="316195E9" w14:textId="5D84E71B" w:rsidR="00565B06" w:rsidRPr="00E83033" w:rsidRDefault="00565B06" w:rsidP="00E83033">
      <w:pPr>
        <w:spacing w:before="0" w:after="0"/>
      </w:pPr>
      <w:r w:rsidRPr="00E83033">
        <w:t>Department of Health &amp; Human Service</w:t>
      </w:r>
      <w:r w:rsidR="00DC658F">
        <w:t>s</w:t>
      </w:r>
    </w:p>
    <w:p w14:paraId="07C0EB7B" w14:textId="77777777" w:rsidR="0021478A" w:rsidRPr="00E83033" w:rsidRDefault="0021478A" w:rsidP="0021478A">
      <w:pPr>
        <w:spacing w:before="0" w:after="0"/>
      </w:pPr>
      <w:r w:rsidRPr="00E83033">
        <w:t xml:space="preserve">Department </w:t>
      </w:r>
      <w:r>
        <w:t xml:space="preserve">of </w:t>
      </w:r>
      <w:r w:rsidRPr="00E83033">
        <w:t xml:space="preserve">Insurance </w:t>
      </w:r>
    </w:p>
    <w:p w14:paraId="0F168D60" w14:textId="77777777" w:rsidR="00565B06" w:rsidRPr="00E83033" w:rsidRDefault="00565B06" w:rsidP="00E83033">
      <w:pPr>
        <w:spacing w:before="0" w:after="0"/>
      </w:pPr>
      <w:r w:rsidRPr="00E83033">
        <w:t>Department of Juvenile Justice</w:t>
      </w:r>
    </w:p>
    <w:p w14:paraId="6F3A5E7C" w14:textId="77777777" w:rsidR="00565B06" w:rsidRPr="00E83033" w:rsidRDefault="00565B06" w:rsidP="00E83033">
      <w:pPr>
        <w:spacing w:before="0" w:after="0"/>
      </w:pPr>
      <w:r w:rsidRPr="00E83033">
        <w:t>Department of Labor, Licensing, &amp; Regulation</w:t>
      </w:r>
    </w:p>
    <w:p w14:paraId="2D47A73F" w14:textId="77777777" w:rsidR="0021478A" w:rsidRPr="00E83033" w:rsidRDefault="0021478A" w:rsidP="0021478A">
      <w:pPr>
        <w:spacing w:before="0" w:after="0"/>
      </w:pPr>
      <w:r w:rsidRPr="00E83033">
        <w:t xml:space="preserve">Department </w:t>
      </w:r>
      <w:r>
        <w:t xml:space="preserve">of </w:t>
      </w:r>
      <w:r w:rsidRPr="00E83033">
        <w:t xml:space="preserve">Mental Health </w:t>
      </w:r>
    </w:p>
    <w:p w14:paraId="30E7DA74" w14:textId="77777777" w:rsidR="00565B06" w:rsidRPr="00E83033" w:rsidRDefault="00565B06" w:rsidP="00E83033">
      <w:pPr>
        <w:spacing w:before="0" w:after="0"/>
      </w:pPr>
      <w:r w:rsidRPr="00E83033">
        <w:t>Department of Motor Vehicles</w:t>
      </w:r>
    </w:p>
    <w:p w14:paraId="49B46151" w14:textId="77777777" w:rsidR="00565B06" w:rsidRPr="00E83033" w:rsidRDefault="00565B06" w:rsidP="00E83033">
      <w:pPr>
        <w:spacing w:before="0" w:after="0"/>
      </w:pPr>
      <w:r w:rsidRPr="00E83033">
        <w:t>Department of Natural Resources</w:t>
      </w:r>
    </w:p>
    <w:p w14:paraId="28063DB7" w14:textId="77777777" w:rsidR="00CA276C" w:rsidRPr="00E83033" w:rsidRDefault="00CA276C" w:rsidP="00CA276C">
      <w:pPr>
        <w:spacing w:before="0" w:after="0"/>
      </w:pPr>
      <w:r>
        <w:t xml:space="preserve">Department of </w:t>
      </w:r>
      <w:r w:rsidRPr="00E83033">
        <w:t>Parks</w:t>
      </w:r>
      <w:r>
        <w:t>,</w:t>
      </w:r>
      <w:r w:rsidRPr="00E83033">
        <w:t xml:space="preserve"> Recreation &amp; Tourism</w:t>
      </w:r>
    </w:p>
    <w:p w14:paraId="127A4E6E" w14:textId="77777777" w:rsidR="00CA276C" w:rsidRPr="00E83033" w:rsidRDefault="00CA276C" w:rsidP="00CA276C">
      <w:pPr>
        <w:spacing w:before="0" w:after="0"/>
      </w:pPr>
      <w:r>
        <w:t xml:space="preserve">Department of </w:t>
      </w:r>
      <w:r w:rsidRPr="00E83033">
        <w:t>Probation</w:t>
      </w:r>
      <w:r>
        <w:t>,</w:t>
      </w:r>
      <w:r w:rsidRPr="00E83033">
        <w:t xml:space="preserve"> Parole </w:t>
      </w:r>
      <w:r>
        <w:t>and</w:t>
      </w:r>
      <w:r w:rsidRPr="00E83033">
        <w:t xml:space="preserve"> Pardon Services</w:t>
      </w:r>
    </w:p>
    <w:p w14:paraId="791F873B" w14:textId="77777777" w:rsidR="00565B06" w:rsidRPr="00E83033" w:rsidRDefault="00565B06" w:rsidP="00E83033">
      <w:pPr>
        <w:spacing w:before="0" w:after="0"/>
      </w:pPr>
      <w:r w:rsidRPr="00E83033">
        <w:t>Department of Public Safety</w:t>
      </w:r>
    </w:p>
    <w:p w14:paraId="4993E841" w14:textId="77777777" w:rsidR="00565B06" w:rsidRPr="00E83033" w:rsidRDefault="00565B06" w:rsidP="00E83033">
      <w:pPr>
        <w:spacing w:before="0" w:after="0"/>
      </w:pPr>
      <w:r w:rsidRPr="00E83033">
        <w:t>Department of Revenue</w:t>
      </w:r>
    </w:p>
    <w:p w14:paraId="4A41EF56" w14:textId="77777777" w:rsidR="00F05DC7" w:rsidRDefault="00F05DC7" w:rsidP="00F05DC7">
      <w:pPr>
        <w:spacing w:before="0" w:after="0"/>
      </w:pPr>
      <w:r w:rsidRPr="00E83033">
        <w:t xml:space="preserve">Department </w:t>
      </w:r>
      <w:r>
        <w:t xml:space="preserve">of </w:t>
      </w:r>
      <w:r w:rsidRPr="00E83033">
        <w:t xml:space="preserve">Social Services </w:t>
      </w:r>
    </w:p>
    <w:p w14:paraId="5E879B65" w14:textId="282F0B39" w:rsidR="00565B06" w:rsidRDefault="00565B06" w:rsidP="00E83033">
      <w:pPr>
        <w:spacing w:before="0" w:after="0"/>
      </w:pPr>
      <w:r w:rsidRPr="004857FD">
        <w:t>Department of Transportation</w:t>
      </w:r>
    </w:p>
    <w:p w14:paraId="2FCE443A" w14:textId="04E8EC18" w:rsidR="00D50556" w:rsidRPr="00E83033" w:rsidRDefault="00D50556" w:rsidP="00E83033">
      <w:pPr>
        <w:spacing w:before="0" w:after="0"/>
      </w:pPr>
      <w:r>
        <w:lastRenderedPageBreak/>
        <w:t>Department of Veterans’ Affairs</w:t>
      </w:r>
    </w:p>
    <w:p w14:paraId="136153C7" w14:textId="77777777" w:rsidR="00565B06" w:rsidRPr="00E83033" w:rsidRDefault="00565B06" w:rsidP="00E83033">
      <w:pPr>
        <w:spacing w:before="0" w:after="0"/>
      </w:pPr>
      <w:r w:rsidRPr="00E83033">
        <w:t>Education Oversight Committee</w:t>
      </w:r>
    </w:p>
    <w:p w14:paraId="17D7A3DB" w14:textId="0AE97C02" w:rsidR="00565B06" w:rsidRPr="00E83033" w:rsidRDefault="00565B06" w:rsidP="00E83033">
      <w:pPr>
        <w:spacing w:before="0" w:after="0"/>
      </w:pPr>
      <w:r w:rsidRPr="00E83033">
        <w:t xml:space="preserve">Educational Television </w:t>
      </w:r>
      <w:r w:rsidR="00C27C5A">
        <w:t>Commission</w:t>
      </w:r>
    </w:p>
    <w:p w14:paraId="46B5C2A1" w14:textId="77777777" w:rsidR="00565B06" w:rsidRPr="00E83033" w:rsidRDefault="00565B06" w:rsidP="00E83033">
      <w:pPr>
        <w:spacing w:before="0" w:after="0"/>
      </w:pPr>
      <w:r w:rsidRPr="00E83033">
        <w:t>Election Commission</w:t>
      </w:r>
    </w:p>
    <w:p w14:paraId="45F86B90" w14:textId="77777777" w:rsidR="00565B06" w:rsidRPr="00E83033" w:rsidRDefault="00565B06" w:rsidP="00E83033">
      <w:pPr>
        <w:spacing w:before="0" w:after="0"/>
      </w:pPr>
      <w:r w:rsidRPr="00E83033">
        <w:t>Forestry Commission</w:t>
      </w:r>
    </w:p>
    <w:p w14:paraId="66433B51" w14:textId="77777777" w:rsidR="00565B06" w:rsidRPr="00E83033" w:rsidRDefault="00565B06" w:rsidP="00E83033">
      <w:pPr>
        <w:spacing w:before="0" w:after="0"/>
      </w:pPr>
      <w:r w:rsidRPr="00E83033">
        <w:t>Governor’s Office</w:t>
      </w:r>
      <w:r w:rsidR="0021478A">
        <w:t>-</w:t>
      </w:r>
      <w:r w:rsidRPr="00E83033">
        <w:t>Executive Policy and Programs</w:t>
      </w:r>
    </w:p>
    <w:p w14:paraId="3C47819F" w14:textId="77777777" w:rsidR="00565B06" w:rsidRPr="00E83033" w:rsidRDefault="00565B06" w:rsidP="00E83033">
      <w:pPr>
        <w:spacing w:before="0" w:after="0"/>
      </w:pPr>
      <w:r w:rsidRPr="00E83033">
        <w:t>Governor’s Office-Executive Control of State</w:t>
      </w:r>
    </w:p>
    <w:p w14:paraId="1E447985" w14:textId="75B46B8B" w:rsidR="00565B06" w:rsidRDefault="00565B06" w:rsidP="00E83033">
      <w:pPr>
        <w:spacing w:before="0" w:after="0"/>
      </w:pPr>
      <w:r w:rsidRPr="00E83033">
        <w:t>Governor’s Office-Mansion &amp; Grounds</w:t>
      </w:r>
    </w:p>
    <w:p w14:paraId="258EAAEF" w14:textId="7D3316DE" w:rsidR="00D50556" w:rsidRDefault="00D50556" w:rsidP="00E83033">
      <w:pPr>
        <w:spacing w:before="0" w:after="0"/>
      </w:pPr>
      <w:r>
        <w:t>Governor’s School for Agriculture at John de la Howe</w:t>
      </w:r>
    </w:p>
    <w:p w14:paraId="411A4FB0" w14:textId="3A44DECD" w:rsidR="00D50556" w:rsidRDefault="00D50556" w:rsidP="00E83033">
      <w:pPr>
        <w:spacing w:before="0" w:after="0"/>
      </w:pPr>
      <w:r>
        <w:t xml:space="preserve">Governor’s School for Arts &amp; Humanities </w:t>
      </w:r>
    </w:p>
    <w:p w14:paraId="7F243AB5" w14:textId="10ED2BC2" w:rsidR="00D50556" w:rsidRPr="00E83033" w:rsidRDefault="00D50556" w:rsidP="00E83033">
      <w:pPr>
        <w:spacing w:before="0" w:after="0"/>
      </w:pPr>
      <w:r>
        <w:t>Governor’s School for Science &amp; Mathematics</w:t>
      </w:r>
    </w:p>
    <w:p w14:paraId="43F6A51B" w14:textId="77777777" w:rsidR="00565B06" w:rsidRPr="00E83033" w:rsidRDefault="00565B06" w:rsidP="00E83033">
      <w:pPr>
        <w:spacing w:before="0" w:after="0"/>
      </w:pPr>
      <w:r w:rsidRPr="00E83033">
        <w:t>Higher Education Tuition Grant Commission</w:t>
      </w:r>
    </w:p>
    <w:p w14:paraId="6828C2B7" w14:textId="77777777" w:rsidR="00565B06" w:rsidRPr="00E83033" w:rsidRDefault="00565B06" w:rsidP="00E83033">
      <w:pPr>
        <w:spacing w:before="0" w:after="0"/>
      </w:pPr>
      <w:r w:rsidRPr="00E83033">
        <w:t>Human Affairs Commission</w:t>
      </w:r>
    </w:p>
    <w:p w14:paraId="130D9C4C" w14:textId="77777777" w:rsidR="00565B06" w:rsidRPr="00E83033" w:rsidRDefault="00565B06" w:rsidP="00E83033">
      <w:pPr>
        <w:spacing w:before="0" w:after="0"/>
      </w:pPr>
      <w:r w:rsidRPr="00E83033">
        <w:t>Judicial Department</w:t>
      </w:r>
    </w:p>
    <w:p w14:paraId="0C31C6FC" w14:textId="77777777" w:rsidR="003028DC" w:rsidRDefault="003028DC" w:rsidP="00E83033">
      <w:pPr>
        <w:spacing w:before="0" w:after="0"/>
      </w:pPr>
      <w:r>
        <w:t>Law Enforcement Training Council</w:t>
      </w:r>
    </w:p>
    <w:p w14:paraId="6CAB6DF0" w14:textId="77777777" w:rsidR="003028DC" w:rsidRDefault="003028DC" w:rsidP="00E83033">
      <w:pPr>
        <w:spacing w:before="0" w:after="0"/>
      </w:pPr>
      <w:r w:rsidRPr="00E83033">
        <w:t>Legislative Department-</w:t>
      </w:r>
      <w:r>
        <w:t>Codification of Laws &amp; Legislative Council</w:t>
      </w:r>
    </w:p>
    <w:p w14:paraId="07A57977" w14:textId="77777777" w:rsidR="00565B06" w:rsidRPr="00E83033" w:rsidRDefault="00565B06" w:rsidP="00E83033">
      <w:pPr>
        <w:spacing w:before="0" w:after="0"/>
      </w:pPr>
      <w:r w:rsidRPr="00E83033">
        <w:t>Legislative Department-House of Representatives</w:t>
      </w:r>
    </w:p>
    <w:p w14:paraId="723185A5" w14:textId="77777777" w:rsidR="00565B06" w:rsidRPr="00E83033" w:rsidRDefault="00565B06" w:rsidP="00E83033">
      <w:pPr>
        <w:spacing w:before="0" w:after="0"/>
      </w:pPr>
      <w:r w:rsidRPr="00E83033">
        <w:t>Legislative Department-Legislative Audit Council</w:t>
      </w:r>
    </w:p>
    <w:p w14:paraId="70E10CB7" w14:textId="77777777" w:rsidR="00565B06" w:rsidRPr="00E83033" w:rsidRDefault="00565B06" w:rsidP="00E83033">
      <w:pPr>
        <w:spacing w:before="0" w:after="0"/>
      </w:pPr>
      <w:r w:rsidRPr="00E83033">
        <w:t xml:space="preserve">Legislative Department-Legislative </w:t>
      </w:r>
      <w:r w:rsidR="0021478A">
        <w:t>Services Agency</w:t>
      </w:r>
    </w:p>
    <w:p w14:paraId="04B1B967" w14:textId="77777777" w:rsidR="00565B06" w:rsidRPr="00E83033" w:rsidRDefault="00565B06" w:rsidP="00E83033">
      <w:pPr>
        <w:spacing w:before="0" w:after="0"/>
      </w:pPr>
      <w:r w:rsidRPr="00E83033">
        <w:t>Legislative Department-The Senate</w:t>
      </w:r>
    </w:p>
    <w:p w14:paraId="31224DB4" w14:textId="77777777" w:rsidR="00565B06" w:rsidRPr="00E83033" w:rsidRDefault="00565B06" w:rsidP="00E83033">
      <w:pPr>
        <w:spacing w:before="0" w:after="0"/>
      </w:pPr>
      <w:r w:rsidRPr="00E83033">
        <w:t>Lieutenant Governor</w:t>
      </w:r>
      <w:r w:rsidR="0021478A">
        <w:t>’s Office</w:t>
      </w:r>
    </w:p>
    <w:p w14:paraId="0C0BCF74" w14:textId="77777777" w:rsidR="00565B06" w:rsidRDefault="00565B06" w:rsidP="00E83033">
      <w:pPr>
        <w:spacing w:before="0" w:after="0"/>
      </w:pPr>
      <w:r w:rsidRPr="00E83033">
        <w:t>Museum Commission</w:t>
      </w:r>
    </w:p>
    <w:p w14:paraId="3C225F8C" w14:textId="77777777" w:rsidR="00F05DC7" w:rsidRPr="00E83033" w:rsidRDefault="00F05DC7" w:rsidP="00E83033">
      <w:pPr>
        <w:spacing w:before="0" w:after="0"/>
      </w:pPr>
      <w:r>
        <w:t>Office of Inspector General</w:t>
      </w:r>
    </w:p>
    <w:p w14:paraId="0DB83F80" w14:textId="1C07F3A8" w:rsidR="00565B06" w:rsidRDefault="00565B06" w:rsidP="00E83033">
      <w:pPr>
        <w:spacing w:before="0" w:after="0"/>
      </w:pPr>
      <w:r w:rsidRPr="00E83033">
        <w:t>Office of Regulatory Staff</w:t>
      </w:r>
    </w:p>
    <w:p w14:paraId="781B2E53" w14:textId="196FA0CF" w:rsidR="00E221EA" w:rsidRPr="00E83033" w:rsidRDefault="00E221EA" w:rsidP="00E83033">
      <w:pPr>
        <w:spacing w:before="0" w:after="0"/>
      </w:pPr>
      <w:r>
        <w:t>Office of Resilience</w:t>
      </w:r>
    </w:p>
    <w:p w14:paraId="7068C978" w14:textId="77777777" w:rsidR="00565B06" w:rsidRPr="00E83033" w:rsidRDefault="00565B06" w:rsidP="00E83033">
      <w:pPr>
        <w:spacing w:before="0" w:after="0"/>
      </w:pPr>
      <w:r w:rsidRPr="00E83033">
        <w:t>Office of the State Auditor</w:t>
      </w:r>
    </w:p>
    <w:p w14:paraId="7F05F4BB" w14:textId="77777777" w:rsidR="00565B06" w:rsidRPr="00E83033" w:rsidRDefault="00565B06" w:rsidP="00E83033">
      <w:pPr>
        <w:spacing w:before="0" w:after="0"/>
      </w:pPr>
      <w:r w:rsidRPr="00E83033">
        <w:t>Procurement Review Panel</w:t>
      </w:r>
    </w:p>
    <w:p w14:paraId="228A98C1" w14:textId="77777777" w:rsidR="00565B06" w:rsidRPr="00E83033" w:rsidRDefault="00565B06" w:rsidP="00E83033">
      <w:pPr>
        <w:spacing w:before="0" w:after="0"/>
      </w:pPr>
      <w:r w:rsidRPr="004857FD">
        <w:t>Public Employee Benefit Authority</w:t>
      </w:r>
    </w:p>
    <w:p w14:paraId="3A12F077" w14:textId="77777777" w:rsidR="00565B06" w:rsidRPr="00E83033" w:rsidRDefault="00565B06" w:rsidP="00E83033">
      <w:pPr>
        <w:spacing w:before="0" w:after="0"/>
      </w:pPr>
      <w:r w:rsidRPr="00E83033">
        <w:t>Public Service Commission</w:t>
      </w:r>
    </w:p>
    <w:p w14:paraId="039FE298" w14:textId="77777777" w:rsidR="00565B06" w:rsidRDefault="00565B06" w:rsidP="00E83033">
      <w:pPr>
        <w:spacing w:before="0" w:after="0"/>
      </w:pPr>
      <w:r w:rsidRPr="00E83033">
        <w:t>Retirement Systems Investment Co</w:t>
      </w:r>
      <w:r w:rsidR="00CA276C">
        <w:t>mmission</w:t>
      </w:r>
    </w:p>
    <w:p w14:paraId="27C4A122" w14:textId="77777777" w:rsidR="00193D3D" w:rsidRPr="00E83033" w:rsidRDefault="00193D3D" w:rsidP="00E83033">
      <w:pPr>
        <w:spacing w:before="0" w:after="0"/>
      </w:pPr>
      <w:r>
        <w:t>Revenue and Fiscal Affairs Office</w:t>
      </w:r>
    </w:p>
    <w:p w14:paraId="3D666CDE" w14:textId="77777777" w:rsidR="003028DC" w:rsidRDefault="003028DC" w:rsidP="00E83033">
      <w:pPr>
        <w:spacing w:before="0" w:after="0"/>
      </w:pPr>
      <w:r>
        <w:t>Rural Infrastructure Authority</w:t>
      </w:r>
    </w:p>
    <w:p w14:paraId="1D6B607C" w14:textId="77777777" w:rsidR="00565B06" w:rsidRPr="00E83033" w:rsidRDefault="00565B06" w:rsidP="00E83033">
      <w:pPr>
        <w:spacing w:before="0" w:after="0"/>
      </w:pPr>
      <w:r w:rsidRPr="00E83033">
        <w:t>S C Conservation Bank</w:t>
      </w:r>
    </w:p>
    <w:p w14:paraId="3B6134BD" w14:textId="77777777" w:rsidR="00565B06" w:rsidRPr="00E83033" w:rsidRDefault="00565B06" w:rsidP="00E83033">
      <w:pPr>
        <w:spacing w:before="0" w:after="0"/>
      </w:pPr>
      <w:r w:rsidRPr="004857FD">
        <w:t>S C Resources Authority</w:t>
      </w:r>
    </w:p>
    <w:p w14:paraId="1B30F946" w14:textId="77777777" w:rsidR="00D026E6" w:rsidRPr="00E83033" w:rsidRDefault="00D026E6" w:rsidP="00D026E6">
      <w:pPr>
        <w:spacing w:before="0" w:after="0"/>
      </w:pPr>
      <w:r w:rsidRPr="00E83033">
        <w:t xml:space="preserve">School </w:t>
      </w:r>
      <w:r>
        <w:t xml:space="preserve">for the </w:t>
      </w:r>
      <w:r w:rsidRPr="00E83033">
        <w:t xml:space="preserve">Deaf </w:t>
      </w:r>
      <w:r>
        <w:t>and the</w:t>
      </w:r>
      <w:r w:rsidRPr="00E83033">
        <w:t xml:space="preserve"> Blind </w:t>
      </w:r>
    </w:p>
    <w:p w14:paraId="40D7B843" w14:textId="77777777" w:rsidR="00565B06" w:rsidRPr="00E83033" w:rsidRDefault="00565B06" w:rsidP="00E83033">
      <w:pPr>
        <w:spacing w:before="0" w:after="0"/>
      </w:pPr>
      <w:r w:rsidRPr="00E83033">
        <w:t>Sea Grant Consortium</w:t>
      </w:r>
    </w:p>
    <w:p w14:paraId="2EC4C745" w14:textId="77777777" w:rsidR="00F63D06" w:rsidRDefault="00F63D06" w:rsidP="00F63D06">
      <w:pPr>
        <w:spacing w:before="0" w:after="0"/>
      </w:pPr>
      <w:r w:rsidRPr="00F63D06">
        <w:t>Second Injury Fund</w:t>
      </w:r>
    </w:p>
    <w:p w14:paraId="4E1D6F3E" w14:textId="77777777" w:rsidR="00565B06" w:rsidRPr="00E83033" w:rsidRDefault="00565B06" w:rsidP="00E83033">
      <w:pPr>
        <w:spacing w:before="0" w:after="0"/>
      </w:pPr>
      <w:r w:rsidRPr="00E83033">
        <w:t>Secretary of State</w:t>
      </w:r>
      <w:r w:rsidR="00F05DC7">
        <w:t>’s Office</w:t>
      </w:r>
    </w:p>
    <w:p w14:paraId="5A417ACF" w14:textId="77777777" w:rsidR="00F05DC7" w:rsidRPr="00E83033" w:rsidRDefault="00F05DC7" w:rsidP="00E83033">
      <w:pPr>
        <w:spacing w:before="0" w:after="0"/>
      </w:pPr>
      <w:r>
        <w:t>State Board for Technical and Comprehensive Education</w:t>
      </w:r>
    </w:p>
    <w:p w14:paraId="1D113683" w14:textId="77777777" w:rsidR="00565B06" w:rsidRPr="00E83033" w:rsidRDefault="00565B06" w:rsidP="00E83033">
      <w:pPr>
        <w:spacing w:before="0" w:after="0"/>
      </w:pPr>
      <w:r w:rsidRPr="00E83033">
        <w:t>State Commission for Minority Affairs</w:t>
      </w:r>
    </w:p>
    <w:p w14:paraId="3864F4DD" w14:textId="77777777" w:rsidR="00565B06" w:rsidRPr="00E83033" w:rsidRDefault="00565B06" w:rsidP="00E83033">
      <w:pPr>
        <w:spacing w:before="0" w:after="0"/>
      </w:pPr>
      <w:r w:rsidRPr="00E83033">
        <w:t>State Ethics Commission</w:t>
      </w:r>
    </w:p>
    <w:p w14:paraId="1412A1BF" w14:textId="77777777" w:rsidR="00193D3D" w:rsidRDefault="00193D3D" w:rsidP="00E83033">
      <w:pPr>
        <w:spacing w:before="0" w:after="0"/>
      </w:pPr>
      <w:r>
        <w:t>State Fiscal Accountability Authority</w:t>
      </w:r>
    </w:p>
    <w:p w14:paraId="29D3DF99" w14:textId="77777777" w:rsidR="00565B06" w:rsidRPr="00E83033" w:rsidRDefault="00565B06" w:rsidP="00E83033">
      <w:pPr>
        <w:spacing w:before="0" w:after="0"/>
      </w:pPr>
      <w:r w:rsidRPr="00E83033">
        <w:lastRenderedPageBreak/>
        <w:t>State Law Enforcement Division</w:t>
      </w:r>
    </w:p>
    <w:p w14:paraId="4035C7CD" w14:textId="77777777" w:rsidR="00565B06" w:rsidRPr="00E83033" w:rsidRDefault="00565B06" w:rsidP="00E83033">
      <w:pPr>
        <w:spacing w:before="0" w:after="0"/>
      </w:pPr>
      <w:r w:rsidRPr="00E83033">
        <w:t>State Library</w:t>
      </w:r>
    </w:p>
    <w:p w14:paraId="6A3EC76E" w14:textId="77777777" w:rsidR="00565B06" w:rsidRPr="00E83033" w:rsidRDefault="00565B06" w:rsidP="00E83033">
      <w:pPr>
        <w:spacing w:before="0" w:after="0"/>
      </w:pPr>
      <w:r w:rsidRPr="00E83033">
        <w:t>State Treasurers Office</w:t>
      </w:r>
    </w:p>
    <w:p w14:paraId="0575BD80" w14:textId="77777777" w:rsidR="00565B06" w:rsidRPr="00E83033" w:rsidRDefault="00565B06" w:rsidP="00E83033">
      <w:pPr>
        <w:spacing w:before="0" w:after="0"/>
      </w:pPr>
      <w:r w:rsidRPr="004857FD">
        <w:t>Transportation Infrastructure Bank</w:t>
      </w:r>
    </w:p>
    <w:p w14:paraId="10F3989E" w14:textId="77777777" w:rsidR="00565B06" w:rsidRPr="00E83033" w:rsidRDefault="00565B06" w:rsidP="00E83033">
      <w:pPr>
        <w:spacing w:before="0" w:after="0"/>
      </w:pPr>
      <w:r w:rsidRPr="00E83033">
        <w:t>Vocational Rehabilitation</w:t>
      </w:r>
    </w:p>
    <w:p w14:paraId="6C3292F4" w14:textId="77777777" w:rsidR="00565B06" w:rsidRPr="00E83033" w:rsidRDefault="00565B06" w:rsidP="00E83033">
      <w:pPr>
        <w:spacing w:before="0" w:after="0"/>
      </w:pPr>
      <w:r w:rsidRPr="00E83033">
        <w:t xml:space="preserve">Wil Lou Gray Opportunity School </w:t>
      </w:r>
    </w:p>
    <w:p w14:paraId="6B3C8543" w14:textId="77777777" w:rsidR="00565B06" w:rsidRPr="00E83033" w:rsidRDefault="00565B06" w:rsidP="00E83033">
      <w:pPr>
        <w:spacing w:before="0" w:after="0"/>
      </w:pPr>
      <w:r w:rsidRPr="00E83033">
        <w:t>Workers' Compensation Commission</w:t>
      </w:r>
    </w:p>
    <w:p w14:paraId="0BD14777" w14:textId="77777777" w:rsidR="00A050D9" w:rsidRDefault="00A050D9" w:rsidP="00565B06">
      <w:pPr>
        <w:pStyle w:val="Heading6"/>
      </w:pPr>
      <w:r>
        <w:t>COMPONENT UNITS</w:t>
      </w:r>
    </w:p>
    <w:p w14:paraId="76AF57E6" w14:textId="77777777" w:rsidR="00A022C7" w:rsidRPr="00E83033" w:rsidRDefault="00A022C7" w:rsidP="00E83033">
      <w:pPr>
        <w:spacing w:before="0" w:after="0"/>
      </w:pPr>
      <w:r w:rsidRPr="00E83033">
        <w:t>Children’s Trust Fund</w:t>
      </w:r>
    </w:p>
    <w:p w14:paraId="3FCC112F" w14:textId="77777777" w:rsidR="00A022C7" w:rsidRPr="00E83033" w:rsidRDefault="00A022C7" w:rsidP="00E83033">
      <w:pPr>
        <w:spacing w:before="0" w:after="0"/>
      </w:pPr>
      <w:r w:rsidRPr="00E83033">
        <w:t>Connector 2000</w:t>
      </w:r>
    </w:p>
    <w:p w14:paraId="12BC1104" w14:textId="77777777" w:rsidR="00A022C7" w:rsidRPr="00E83033" w:rsidRDefault="00A022C7" w:rsidP="00E83033">
      <w:pPr>
        <w:spacing w:before="0" w:after="0"/>
      </w:pPr>
      <w:r w:rsidRPr="00E83033">
        <w:t>Education Assistance Authority</w:t>
      </w:r>
    </w:p>
    <w:p w14:paraId="53E5913B" w14:textId="77777777" w:rsidR="00A022C7" w:rsidRPr="00E83033" w:rsidRDefault="00A022C7" w:rsidP="00E83033">
      <w:pPr>
        <w:spacing w:before="0" w:after="0"/>
      </w:pPr>
      <w:r w:rsidRPr="00E83033">
        <w:t>First Steps</w:t>
      </w:r>
    </w:p>
    <w:p w14:paraId="290168EA" w14:textId="77777777" w:rsidR="00A022C7" w:rsidRPr="00E83033" w:rsidRDefault="00A022C7" w:rsidP="00E83033">
      <w:pPr>
        <w:spacing w:before="0" w:after="0"/>
      </w:pPr>
      <w:r w:rsidRPr="00E83033">
        <w:t>Housing Authority</w:t>
      </w:r>
    </w:p>
    <w:p w14:paraId="3622A2BD" w14:textId="77777777" w:rsidR="00A022C7" w:rsidRPr="00E83033" w:rsidRDefault="00A022C7" w:rsidP="00E83033">
      <w:pPr>
        <w:spacing w:before="0" w:after="0"/>
      </w:pPr>
      <w:r w:rsidRPr="00E83033">
        <w:t>Jobs-Economic Development Authority</w:t>
      </w:r>
    </w:p>
    <w:p w14:paraId="69C9FC4F" w14:textId="615E9074" w:rsidR="00A022C7" w:rsidRDefault="00A022C7" w:rsidP="00E83033">
      <w:pPr>
        <w:spacing w:before="0" w:after="0"/>
      </w:pPr>
      <w:r w:rsidRPr="00E83033">
        <w:t>Lottery Commission</w:t>
      </w:r>
    </w:p>
    <w:p w14:paraId="03D8956D" w14:textId="0FC822ED" w:rsidR="00D50556" w:rsidRPr="00E83033" w:rsidRDefault="00D50556" w:rsidP="00E83033">
      <w:pPr>
        <w:spacing w:before="0" w:after="0"/>
      </w:pPr>
      <w:r>
        <w:t>Medical Malpractice Association</w:t>
      </w:r>
    </w:p>
    <w:p w14:paraId="04E13FC4" w14:textId="010B4139" w:rsidR="00A022C7" w:rsidRPr="00E83033" w:rsidRDefault="00A022C7" w:rsidP="00E83033">
      <w:pPr>
        <w:spacing w:before="0" w:after="0"/>
      </w:pPr>
      <w:r w:rsidRPr="009F1037">
        <w:t>Medical Malpractice Liability Joint Underwriting Association</w:t>
      </w:r>
    </w:p>
    <w:p w14:paraId="5057E63E" w14:textId="77777777" w:rsidR="00A022C7" w:rsidRPr="00E83033" w:rsidRDefault="00A022C7" w:rsidP="00E83033">
      <w:pPr>
        <w:spacing w:before="0" w:after="0"/>
      </w:pPr>
      <w:r w:rsidRPr="00E83033">
        <w:t>Patriots Point Development Authority</w:t>
      </w:r>
    </w:p>
    <w:p w14:paraId="5728C086" w14:textId="77777777" w:rsidR="006967E1" w:rsidRPr="00E83033" w:rsidRDefault="006967E1" w:rsidP="00E83033">
      <w:pPr>
        <w:spacing w:before="0" w:after="0"/>
      </w:pPr>
      <w:r w:rsidRPr="00E83033">
        <w:t>Ports Authority</w:t>
      </w:r>
    </w:p>
    <w:p w14:paraId="516EB303" w14:textId="77777777" w:rsidR="00A022C7" w:rsidRDefault="00A022C7" w:rsidP="00E83033">
      <w:pPr>
        <w:spacing w:before="0" w:after="0"/>
      </w:pPr>
      <w:r w:rsidRPr="00E83033">
        <w:t>Public Service Authority (Santee-Cooper)</w:t>
      </w:r>
    </w:p>
    <w:p w14:paraId="1ED66E3B" w14:textId="77777777" w:rsidR="00A4268E" w:rsidRPr="00E83033" w:rsidRDefault="00A4268E" w:rsidP="00E83033">
      <w:pPr>
        <w:spacing w:before="0" w:after="0"/>
      </w:pPr>
      <w:r>
        <w:t>South Carolina Research Authority</w:t>
      </w:r>
    </w:p>
    <w:p w14:paraId="234F95BE" w14:textId="77777777" w:rsidR="00A022C7" w:rsidRDefault="00A022C7" w:rsidP="00A022C7">
      <w:pPr>
        <w:spacing w:before="0" w:after="0"/>
        <w:rPr>
          <w:u w:val="single"/>
        </w:rPr>
      </w:pPr>
      <w:r w:rsidRPr="00A022C7">
        <w:rPr>
          <w:u w:val="single"/>
        </w:rPr>
        <w:t>Universities:</w:t>
      </w:r>
    </w:p>
    <w:p w14:paraId="3F30585D" w14:textId="77777777" w:rsidR="00A022C7" w:rsidRDefault="00A022C7" w:rsidP="00A022C7">
      <w:pPr>
        <w:spacing w:before="0" w:after="0"/>
      </w:pPr>
      <w:r w:rsidRPr="00A022C7">
        <w:t>The Citadel</w:t>
      </w:r>
      <w:r w:rsidR="00F15D38">
        <w:t xml:space="preserve"> (including The Citadel Trust and The Citadel Foundation)</w:t>
      </w:r>
    </w:p>
    <w:p w14:paraId="3CBAC66C" w14:textId="77777777" w:rsidR="00A022C7" w:rsidRDefault="00A022C7" w:rsidP="00A022C7">
      <w:pPr>
        <w:spacing w:before="0" w:after="0"/>
      </w:pPr>
      <w:r w:rsidRPr="00A022C7">
        <w:t>Clemson University</w:t>
      </w:r>
      <w:r w:rsidR="005B3CEC">
        <w:t xml:space="preserve"> (including Clemson Foundation)</w:t>
      </w:r>
    </w:p>
    <w:p w14:paraId="645AE085" w14:textId="77777777" w:rsidR="00A022C7" w:rsidRDefault="00A022C7" w:rsidP="00A022C7">
      <w:pPr>
        <w:spacing w:before="0" w:after="0"/>
      </w:pPr>
      <w:r>
        <w:t>Coastal Carolina University</w:t>
      </w:r>
    </w:p>
    <w:p w14:paraId="0D642C81" w14:textId="77777777" w:rsidR="00A022C7" w:rsidRDefault="00A022C7" w:rsidP="00A022C7">
      <w:pPr>
        <w:spacing w:before="0" w:after="0"/>
      </w:pPr>
      <w:r>
        <w:t>College of Charleston</w:t>
      </w:r>
      <w:r w:rsidR="00F15D38">
        <w:t xml:space="preserve"> (including College of Charleston Foundation)</w:t>
      </w:r>
    </w:p>
    <w:p w14:paraId="570C10B3" w14:textId="77777777" w:rsidR="00A022C7" w:rsidRDefault="00A022C7" w:rsidP="00A022C7">
      <w:pPr>
        <w:spacing w:before="0" w:after="0"/>
      </w:pPr>
      <w:r>
        <w:t>Francis Marion University</w:t>
      </w:r>
      <w:r w:rsidR="00F15D38">
        <w:t xml:space="preserve"> (including Education Foundation and Development Foundation)</w:t>
      </w:r>
    </w:p>
    <w:p w14:paraId="04E999F1" w14:textId="77777777" w:rsidR="00A022C7" w:rsidRDefault="00A022C7" w:rsidP="00A022C7">
      <w:pPr>
        <w:spacing w:before="0" w:after="0"/>
      </w:pPr>
      <w:r>
        <w:t>Lander University</w:t>
      </w:r>
      <w:r w:rsidR="00F15D38">
        <w:t xml:space="preserve"> (including The Lander Foundation)</w:t>
      </w:r>
    </w:p>
    <w:p w14:paraId="10C37025" w14:textId="0376202E" w:rsidR="00A022C7" w:rsidRDefault="00A022C7" w:rsidP="00A022C7">
      <w:pPr>
        <w:spacing w:before="0" w:after="0"/>
      </w:pPr>
      <w:r w:rsidRPr="00A022C7">
        <w:t>Medical University of South Carolina</w:t>
      </w:r>
      <w:r w:rsidR="00481E58">
        <w:t xml:space="preserve"> (including </w:t>
      </w:r>
      <w:r w:rsidR="00481E58" w:rsidRPr="00481E58">
        <w:t>University Medical Associates</w:t>
      </w:r>
      <w:r w:rsidR="00F15D38">
        <w:t>,</w:t>
      </w:r>
      <w:r w:rsidR="00906631">
        <w:t xml:space="preserve"> </w:t>
      </w:r>
      <w:r w:rsidR="00906631" w:rsidRPr="001D2DD4">
        <w:t>Medical University Hospital Authority</w:t>
      </w:r>
      <w:r w:rsidR="00F15D38">
        <w:t>, and Medical University of South Carolina Foundation</w:t>
      </w:r>
      <w:r w:rsidR="00481E58">
        <w:t>)</w:t>
      </w:r>
    </w:p>
    <w:p w14:paraId="34B1FAC2" w14:textId="77777777" w:rsidR="00A022C7" w:rsidRDefault="00A022C7" w:rsidP="00A022C7">
      <w:pPr>
        <w:spacing w:before="0" w:after="0"/>
      </w:pPr>
      <w:r w:rsidRPr="00A022C7">
        <w:t>South Carolina State University</w:t>
      </w:r>
    </w:p>
    <w:p w14:paraId="2AEDAA9C" w14:textId="28DEE711" w:rsidR="00A022C7" w:rsidRDefault="00A022C7" w:rsidP="00A022C7">
      <w:pPr>
        <w:spacing w:before="0" w:after="0"/>
      </w:pPr>
      <w:r w:rsidRPr="00A022C7">
        <w:t>University of South Carolina</w:t>
      </w:r>
      <w:r w:rsidR="005B3CEC">
        <w:t xml:space="preserve"> (including </w:t>
      </w:r>
      <w:r w:rsidR="005B3CEC" w:rsidRPr="005B3CEC">
        <w:t>USC Educational Foundation</w:t>
      </w:r>
      <w:r w:rsidR="005B3CEC">
        <w:t>)</w:t>
      </w:r>
    </w:p>
    <w:p w14:paraId="7AB6FD1B" w14:textId="77777777" w:rsidR="00A022C7" w:rsidRDefault="00A022C7" w:rsidP="00A022C7">
      <w:pPr>
        <w:spacing w:before="0" w:after="0"/>
      </w:pPr>
      <w:r w:rsidRPr="00A022C7">
        <w:t>Winthrop University</w:t>
      </w:r>
      <w:r w:rsidR="00F15D38">
        <w:t xml:space="preserve"> (including The Winthrop University Foundation)</w:t>
      </w:r>
    </w:p>
    <w:p w14:paraId="5918FE3A" w14:textId="77777777" w:rsidR="00A022C7" w:rsidRDefault="00A022C7" w:rsidP="00A022C7">
      <w:pPr>
        <w:spacing w:before="0" w:after="0"/>
        <w:rPr>
          <w:u w:val="single"/>
        </w:rPr>
      </w:pPr>
      <w:r w:rsidRPr="00A022C7">
        <w:rPr>
          <w:u w:val="single"/>
        </w:rPr>
        <w:t>Technical Colleges:</w:t>
      </w:r>
    </w:p>
    <w:p w14:paraId="2EDDD601" w14:textId="77777777" w:rsidR="00E17D25" w:rsidRDefault="00E17D25" w:rsidP="00E17D25">
      <w:pPr>
        <w:spacing w:before="0" w:after="0"/>
      </w:pPr>
      <w:r>
        <w:t>Aiken Technical College</w:t>
      </w:r>
    </w:p>
    <w:p w14:paraId="0F67C387" w14:textId="77777777" w:rsidR="00E17D25" w:rsidRDefault="00E17D25" w:rsidP="00E17D25">
      <w:pPr>
        <w:spacing w:before="0" w:after="0"/>
      </w:pPr>
      <w:r>
        <w:t>Central Carolina Technical College</w:t>
      </w:r>
    </w:p>
    <w:p w14:paraId="1AC4B962" w14:textId="77777777" w:rsidR="00E17D25" w:rsidRDefault="00E17D25" w:rsidP="00E17D25">
      <w:pPr>
        <w:spacing w:before="0" w:after="0"/>
      </w:pPr>
      <w:r>
        <w:t>Denmark Technical College</w:t>
      </w:r>
    </w:p>
    <w:p w14:paraId="0808A5F1" w14:textId="77777777" w:rsidR="00E17D25" w:rsidRDefault="00E17D25" w:rsidP="00E17D25">
      <w:pPr>
        <w:spacing w:before="0" w:after="0"/>
      </w:pPr>
      <w:r>
        <w:t>Florence-Darlington Technical College</w:t>
      </w:r>
    </w:p>
    <w:p w14:paraId="4ED2D103" w14:textId="77777777" w:rsidR="00E17D25" w:rsidRDefault="00E17D25" w:rsidP="00E17D25">
      <w:pPr>
        <w:spacing w:before="0" w:after="0"/>
      </w:pPr>
      <w:r>
        <w:t>Greenville Technical College</w:t>
      </w:r>
      <w:r w:rsidR="00F15D38">
        <w:t xml:space="preserve"> (including Greenville Tech Foundation, Inc.</w:t>
      </w:r>
    </w:p>
    <w:p w14:paraId="08A93E5A" w14:textId="77777777" w:rsidR="00E17D25" w:rsidRDefault="00E17D25" w:rsidP="00E17D25">
      <w:pPr>
        <w:spacing w:before="0" w:after="0"/>
      </w:pPr>
      <w:r>
        <w:t>Horry-Georgetown Technical College</w:t>
      </w:r>
    </w:p>
    <w:p w14:paraId="5FC9C980" w14:textId="77777777" w:rsidR="00E17D25" w:rsidRDefault="00E17D25" w:rsidP="00E17D25">
      <w:pPr>
        <w:spacing w:before="0" w:after="0"/>
      </w:pPr>
      <w:r>
        <w:t>Midlands Technical College</w:t>
      </w:r>
    </w:p>
    <w:p w14:paraId="5B44264A" w14:textId="77777777" w:rsidR="00E17D25" w:rsidRDefault="00E17D25" w:rsidP="00E17D25">
      <w:pPr>
        <w:spacing w:before="0" w:after="0"/>
      </w:pPr>
      <w:r>
        <w:lastRenderedPageBreak/>
        <w:t>Northeastern Technical College</w:t>
      </w:r>
    </w:p>
    <w:p w14:paraId="607DC936" w14:textId="77777777" w:rsidR="00E17D25" w:rsidRDefault="00E17D25" w:rsidP="00E17D25">
      <w:pPr>
        <w:spacing w:before="0" w:after="0"/>
      </w:pPr>
      <w:r>
        <w:t>Orangeburg-Calhoun Technical College</w:t>
      </w:r>
    </w:p>
    <w:p w14:paraId="549CFEC6" w14:textId="77777777" w:rsidR="00E17D25" w:rsidRDefault="00E17D25" w:rsidP="00E17D25">
      <w:pPr>
        <w:spacing w:before="0" w:after="0"/>
      </w:pPr>
      <w:r>
        <w:t>Piedmont Technical College</w:t>
      </w:r>
      <w:r w:rsidR="00F15D38">
        <w:t xml:space="preserve"> (including Piedmont Technical College Foundation)</w:t>
      </w:r>
    </w:p>
    <w:p w14:paraId="25E6C9D3" w14:textId="77777777" w:rsidR="00E17D25" w:rsidRDefault="00E17D25" w:rsidP="00E17D25">
      <w:pPr>
        <w:spacing w:before="0" w:after="0"/>
      </w:pPr>
      <w:r>
        <w:t>Spartanburg Community College</w:t>
      </w:r>
      <w:r w:rsidR="00F15D38">
        <w:t xml:space="preserve"> (including Spartanburg Community College Foundation)</w:t>
      </w:r>
    </w:p>
    <w:p w14:paraId="21D9599A" w14:textId="77777777" w:rsidR="006967E1" w:rsidRDefault="006967E1" w:rsidP="006967E1">
      <w:pPr>
        <w:spacing w:before="0" w:after="0"/>
      </w:pPr>
      <w:r>
        <w:t>Technical College of the Lowcountry</w:t>
      </w:r>
    </w:p>
    <w:p w14:paraId="2A4F3A65" w14:textId="77777777" w:rsidR="00E17D25" w:rsidRDefault="00E17D25" w:rsidP="00E17D25">
      <w:pPr>
        <w:spacing w:before="0" w:after="0"/>
      </w:pPr>
      <w:r>
        <w:t>Tri-county Technical College</w:t>
      </w:r>
      <w:r w:rsidR="00F15D38">
        <w:t xml:space="preserve"> (including Tri-County Technical College Foundation, Inc.)</w:t>
      </w:r>
    </w:p>
    <w:p w14:paraId="3C7FF92D" w14:textId="77777777" w:rsidR="00E17D25" w:rsidRDefault="00E17D25" w:rsidP="00E17D25">
      <w:pPr>
        <w:spacing w:before="0" w:after="0"/>
      </w:pPr>
      <w:r>
        <w:t>Trident Technical College</w:t>
      </w:r>
    </w:p>
    <w:p w14:paraId="14870DF0" w14:textId="77777777" w:rsidR="00E17D25" w:rsidRDefault="00E17D25" w:rsidP="00E17D25">
      <w:pPr>
        <w:spacing w:before="0" w:after="0"/>
      </w:pPr>
      <w:r>
        <w:t>Williamsburg Technical College</w:t>
      </w:r>
    </w:p>
    <w:p w14:paraId="1C2E7AD2" w14:textId="77777777" w:rsidR="00E17D25" w:rsidRPr="00E17D25" w:rsidRDefault="00E17D25" w:rsidP="00E17D25">
      <w:pPr>
        <w:spacing w:before="0" w:after="0"/>
      </w:pPr>
      <w:r>
        <w:t>York Technical College</w:t>
      </w:r>
      <w:r w:rsidR="00F15D38">
        <w:t xml:space="preserve"> (including York Technical College Foundation)</w:t>
      </w:r>
    </w:p>
    <w:p w14:paraId="3E2A7A78" w14:textId="77777777" w:rsidR="00A050D9" w:rsidRDefault="00A050D9" w:rsidP="00A050D9">
      <w:pPr>
        <w:pStyle w:val="Heading6"/>
      </w:pPr>
      <w:r>
        <w:t>OTHER ENTITIES</w:t>
      </w:r>
    </w:p>
    <w:p w14:paraId="7EA91F90" w14:textId="77777777" w:rsidR="001D2DD4" w:rsidRPr="00D50556" w:rsidRDefault="001D2DD4" w:rsidP="001D2DD4">
      <w:pPr>
        <w:spacing w:before="0" w:after="0"/>
      </w:pPr>
      <w:r w:rsidRPr="00D50556">
        <w:t>Accommodations and Local Option Sales Tax Fund</w:t>
      </w:r>
    </w:p>
    <w:p w14:paraId="392CCC93" w14:textId="77777777" w:rsidR="001D2DD4" w:rsidRPr="00D50556" w:rsidRDefault="001D2DD4" w:rsidP="001D2DD4">
      <w:pPr>
        <w:spacing w:before="0" w:after="0"/>
      </w:pPr>
      <w:r w:rsidRPr="00D50556">
        <w:t>Bequests Fund</w:t>
      </w:r>
    </w:p>
    <w:p w14:paraId="06B10796" w14:textId="77777777" w:rsidR="001D2DD4" w:rsidRPr="00D50556" w:rsidRDefault="001D2DD4" w:rsidP="001D2DD4">
      <w:pPr>
        <w:spacing w:before="0" w:after="0"/>
      </w:pPr>
      <w:r w:rsidRPr="00D50556">
        <w:t>Canteen Fund</w:t>
      </w:r>
    </w:p>
    <w:p w14:paraId="507CB359" w14:textId="77777777" w:rsidR="00375D12" w:rsidRPr="00D50556" w:rsidRDefault="00375D12" w:rsidP="00375D12">
      <w:pPr>
        <w:spacing w:before="0" w:after="0"/>
      </w:pPr>
      <w:r w:rsidRPr="00D50556">
        <w:t xml:space="preserve">Central Supplies and Equipment Fund </w:t>
      </w:r>
    </w:p>
    <w:p w14:paraId="5AF93D77" w14:textId="77777777" w:rsidR="001D2DD4" w:rsidRDefault="001D2DD4" w:rsidP="00375D12">
      <w:pPr>
        <w:spacing w:before="0" w:after="0"/>
      </w:pPr>
      <w:r w:rsidRPr="00D50556">
        <w:t>Children's Education Endowment Fund</w:t>
      </w:r>
    </w:p>
    <w:p w14:paraId="26B7D9CB" w14:textId="77777777" w:rsidR="00375D12" w:rsidRDefault="00375D12" w:rsidP="001D2DD4">
      <w:pPr>
        <w:spacing w:before="0" w:after="0"/>
      </w:pPr>
      <w:r w:rsidRPr="00375D12">
        <w:t xml:space="preserve">College Savings Plan Fund </w:t>
      </w:r>
    </w:p>
    <w:p w14:paraId="762B193C" w14:textId="77777777" w:rsidR="001D2DD4" w:rsidRDefault="001D2DD4" w:rsidP="001D2DD4">
      <w:pPr>
        <w:spacing w:before="0" w:after="0"/>
      </w:pPr>
      <w:r w:rsidRPr="001D2DD4">
        <w:t>Debt Service</w:t>
      </w:r>
      <w:r>
        <w:t xml:space="preserve"> Fund</w:t>
      </w:r>
    </w:p>
    <w:p w14:paraId="6E74007D" w14:textId="77777777" w:rsidR="00A022C7" w:rsidRDefault="00A022C7" w:rsidP="00A022C7">
      <w:pPr>
        <w:spacing w:before="0" w:after="0"/>
      </w:pPr>
      <w:r w:rsidRPr="00A022C7">
        <w:t>Department of Commerce, Division of Savannah Valley Development</w:t>
      </w:r>
    </w:p>
    <w:p w14:paraId="7343B89D" w14:textId="77777777" w:rsidR="001D2DD4" w:rsidRDefault="001D2DD4" w:rsidP="001D2DD4">
      <w:pPr>
        <w:spacing w:before="0" w:after="0"/>
      </w:pPr>
      <w:r>
        <w:t>Department of Transportation Special Revenue Fund</w:t>
      </w:r>
    </w:p>
    <w:p w14:paraId="080E4CF5" w14:textId="77777777" w:rsidR="001D2DD4" w:rsidRDefault="001D2DD4" w:rsidP="001D2DD4">
      <w:pPr>
        <w:spacing w:before="0" w:after="0"/>
      </w:pPr>
      <w:r w:rsidRPr="001D2DD4">
        <w:t>Education Lottery Fund</w:t>
      </w:r>
    </w:p>
    <w:p w14:paraId="27AB1877" w14:textId="77777777" w:rsidR="00375D12" w:rsidRDefault="00375D12" w:rsidP="00375D12">
      <w:pPr>
        <w:spacing w:before="0" w:after="0"/>
      </w:pPr>
      <w:r>
        <w:t>Employee Insurance Programs Fund</w:t>
      </w:r>
      <w:r w:rsidRPr="00375D12">
        <w:t xml:space="preserve"> </w:t>
      </w:r>
    </w:p>
    <w:p w14:paraId="69D64F51" w14:textId="77777777" w:rsidR="00375D12" w:rsidRPr="00D50556" w:rsidRDefault="00375D12" w:rsidP="00375D12">
      <w:pPr>
        <w:spacing w:before="0" w:after="0"/>
      </w:pPr>
      <w:r w:rsidRPr="00D50556">
        <w:t xml:space="preserve">General Assembly Retirement System </w:t>
      </w:r>
    </w:p>
    <w:p w14:paraId="5DADB835" w14:textId="77777777" w:rsidR="00375D12" w:rsidRPr="00D50556" w:rsidRDefault="00375D12" w:rsidP="00375D12">
      <w:pPr>
        <w:spacing w:before="0" w:after="0"/>
      </w:pPr>
      <w:r w:rsidRPr="00D50556">
        <w:t xml:space="preserve">General Services Fund </w:t>
      </w:r>
    </w:p>
    <w:p w14:paraId="6C80A4AA" w14:textId="77777777" w:rsidR="00375D12" w:rsidRPr="00D50556" w:rsidRDefault="00375D12" w:rsidP="00375D12">
      <w:pPr>
        <w:spacing w:before="0" w:after="0"/>
      </w:pPr>
      <w:r w:rsidRPr="00D50556">
        <w:t>Insurance Reserve Fund</w:t>
      </w:r>
    </w:p>
    <w:p w14:paraId="1E39FEAD" w14:textId="77777777" w:rsidR="00B95118" w:rsidRDefault="00B95118" w:rsidP="00375D12">
      <w:pPr>
        <w:spacing w:before="0" w:after="0"/>
      </w:pPr>
      <w:proofErr w:type="spellStart"/>
      <w:r w:rsidRPr="00D50556">
        <w:t>InvestSC</w:t>
      </w:r>
      <w:proofErr w:type="spellEnd"/>
      <w:r w:rsidRPr="00D50556">
        <w:t>, Inc.</w:t>
      </w:r>
    </w:p>
    <w:p w14:paraId="31EC027F" w14:textId="77777777" w:rsidR="00375D12" w:rsidRPr="00D50556" w:rsidRDefault="00375D12" w:rsidP="00375D12">
      <w:pPr>
        <w:spacing w:before="0" w:after="0"/>
      </w:pPr>
      <w:r w:rsidRPr="00D50556">
        <w:t xml:space="preserve">Judges' and Solicitors' Retirement System </w:t>
      </w:r>
    </w:p>
    <w:p w14:paraId="46289F33" w14:textId="77777777" w:rsidR="001D2DD4" w:rsidRPr="00D50556" w:rsidRDefault="001D2DD4" w:rsidP="00375D12">
      <w:pPr>
        <w:spacing w:before="0" w:after="0"/>
      </w:pPr>
      <w:r w:rsidRPr="00D50556">
        <w:t>Local Government Infrastructure Fund</w:t>
      </w:r>
    </w:p>
    <w:p w14:paraId="1F7031EF" w14:textId="77777777" w:rsidR="00375D12" w:rsidRPr="00D50556" w:rsidRDefault="00375D12" w:rsidP="00375D12">
      <w:pPr>
        <w:spacing w:before="0" w:after="0"/>
      </w:pPr>
      <w:r w:rsidRPr="00D50556">
        <w:t xml:space="preserve">Local Government Investment Pool </w:t>
      </w:r>
    </w:p>
    <w:p w14:paraId="2E385F76" w14:textId="77777777" w:rsidR="00375D12" w:rsidRPr="00D50556" w:rsidRDefault="00375D12" w:rsidP="00375D12">
      <w:pPr>
        <w:spacing w:before="0" w:after="0"/>
      </w:pPr>
      <w:r w:rsidRPr="00D50556">
        <w:t xml:space="preserve">Long-term Disability Insurance Trust Fund </w:t>
      </w:r>
    </w:p>
    <w:p w14:paraId="43B31034" w14:textId="77777777" w:rsidR="00375D12" w:rsidRDefault="00375D12" w:rsidP="001D2DD4">
      <w:pPr>
        <w:spacing w:before="0" w:after="0"/>
      </w:pPr>
      <w:r w:rsidRPr="00D50556">
        <w:t>Motor Pool Fund</w:t>
      </w:r>
      <w:r w:rsidRPr="00375D12">
        <w:t xml:space="preserve"> </w:t>
      </w:r>
    </w:p>
    <w:p w14:paraId="478168AB" w14:textId="77777777" w:rsidR="00375D12" w:rsidRDefault="00375D12" w:rsidP="001D2DD4">
      <w:pPr>
        <w:spacing w:before="0" w:after="0"/>
      </w:pPr>
      <w:r w:rsidRPr="00D50556">
        <w:t>National Guard Retirement System</w:t>
      </w:r>
      <w:r w:rsidRPr="00375D12">
        <w:t xml:space="preserve"> </w:t>
      </w:r>
    </w:p>
    <w:p w14:paraId="1769962A" w14:textId="2C114E45" w:rsidR="00D50556" w:rsidRDefault="00D50556" w:rsidP="001D2DD4">
      <w:pPr>
        <w:spacing w:before="0" w:after="0"/>
      </w:pPr>
      <w:r>
        <w:t>Opioid Recovery Fund Board</w:t>
      </w:r>
    </w:p>
    <w:p w14:paraId="4A99306D" w14:textId="7D1E888D" w:rsidR="001D2DD4" w:rsidRDefault="001D2DD4" w:rsidP="001D2DD4">
      <w:pPr>
        <w:spacing w:before="0" w:after="0"/>
      </w:pPr>
      <w:r w:rsidRPr="00D50556">
        <w:t>Patients' Compensation Fund</w:t>
      </w:r>
    </w:p>
    <w:p w14:paraId="71E3AA4C" w14:textId="77777777" w:rsidR="00375D12" w:rsidRPr="00D50556" w:rsidRDefault="00375D12" w:rsidP="00375D12">
      <w:pPr>
        <w:spacing w:before="0" w:after="0"/>
      </w:pPr>
      <w:r w:rsidRPr="00D50556">
        <w:t xml:space="preserve">Police Officers' Retirement System </w:t>
      </w:r>
    </w:p>
    <w:p w14:paraId="46092A9B" w14:textId="77777777" w:rsidR="00375D12" w:rsidRPr="00D50556" w:rsidRDefault="00375D12" w:rsidP="00375D12">
      <w:pPr>
        <w:spacing w:before="0" w:after="0"/>
      </w:pPr>
      <w:r w:rsidRPr="00D50556">
        <w:t>Prison Industries Fund</w:t>
      </w:r>
    </w:p>
    <w:p w14:paraId="68B46608" w14:textId="0A53379E" w:rsidR="00375D12" w:rsidRDefault="00375D12" w:rsidP="00375D12">
      <w:pPr>
        <w:spacing w:before="0" w:after="0"/>
      </w:pPr>
      <w:r w:rsidRPr="00D50556">
        <w:t>P</w:t>
      </w:r>
      <w:r w:rsidR="00F15D38" w:rsidRPr="00D50556">
        <w:t>almetto</w:t>
      </w:r>
      <w:r w:rsidRPr="00D50556">
        <w:t xml:space="preserve"> Railways Division</w:t>
      </w:r>
    </w:p>
    <w:p w14:paraId="6BBB260F" w14:textId="77777777" w:rsidR="001D2DD4" w:rsidRDefault="001D2DD4" w:rsidP="001D2DD4">
      <w:pPr>
        <w:spacing w:before="0" w:after="0"/>
      </w:pPr>
      <w:r w:rsidRPr="00D50556">
        <w:t>Public Telecommunications Fund</w:t>
      </w:r>
    </w:p>
    <w:p w14:paraId="05AFEF89" w14:textId="77777777" w:rsidR="00375D12" w:rsidRDefault="00375D12" w:rsidP="00375D12">
      <w:pPr>
        <w:spacing w:before="0" w:after="0"/>
      </w:pPr>
      <w:r w:rsidRPr="00D50556">
        <w:t>South Carolina Retiree Health Insurance Trust Fund</w:t>
      </w:r>
      <w:r w:rsidRPr="00375D12">
        <w:t xml:space="preserve"> </w:t>
      </w:r>
    </w:p>
    <w:p w14:paraId="49850567" w14:textId="77777777" w:rsidR="00375D12" w:rsidRDefault="00375D12" w:rsidP="001D2DD4">
      <w:pPr>
        <w:spacing w:before="0" w:after="0"/>
      </w:pPr>
      <w:r w:rsidRPr="00375D12">
        <w:t xml:space="preserve">South Carolina Retirement System </w:t>
      </w:r>
    </w:p>
    <w:p w14:paraId="0F2D27D3" w14:textId="77777777" w:rsidR="00375D12" w:rsidRDefault="00375D12" w:rsidP="00375D12">
      <w:pPr>
        <w:spacing w:before="0" w:after="0"/>
      </w:pPr>
      <w:r w:rsidRPr="00375D12">
        <w:t xml:space="preserve">State Accident Fund </w:t>
      </w:r>
    </w:p>
    <w:p w14:paraId="525D703D" w14:textId="77777777" w:rsidR="001D2DD4" w:rsidRDefault="001D2DD4" w:rsidP="001D2DD4">
      <w:pPr>
        <w:spacing w:before="0" w:after="0"/>
      </w:pPr>
      <w:r w:rsidRPr="001D2DD4">
        <w:t>State Tobacco Settlement Fund</w:t>
      </w:r>
    </w:p>
    <w:p w14:paraId="65A7C2E7" w14:textId="77777777" w:rsidR="00A022C7" w:rsidRDefault="00A022C7" w:rsidP="001D2DD4">
      <w:pPr>
        <w:spacing w:before="0" w:after="0"/>
      </w:pPr>
      <w:r w:rsidRPr="00A022C7">
        <w:lastRenderedPageBreak/>
        <w:t>Teacher Loan Program of the South Carolina Student Loan Corporation</w:t>
      </w:r>
    </w:p>
    <w:p w14:paraId="6FED0396" w14:textId="77777777" w:rsidR="001D2DD4" w:rsidRDefault="001D2DD4" w:rsidP="001D2DD4">
      <w:pPr>
        <w:spacing w:before="0" w:after="0"/>
      </w:pPr>
      <w:r>
        <w:t>Tobacco Settlement Revenue Management Authority Fund</w:t>
      </w:r>
    </w:p>
    <w:p w14:paraId="72AF925E" w14:textId="77777777" w:rsidR="001D2DD4" w:rsidRPr="00D50556" w:rsidRDefault="001D2DD4" w:rsidP="001D2DD4">
      <w:pPr>
        <w:spacing w:before="0" w:after="0"/>
      </w:pPr>
      <w:r w:rsidRPr="00D50556">
        <w:t>Tuition Prepayment Program Fund</w:t>
      </w:r>
    </w:p>
    <w:p w14:paraId="548F0A2C" w14:textId="77777777" w:rsidR="001D2DD4" w:rsidRPr="00D50556" w:rsidRDefault="001D2DD4" w:rsidP="001D2DD4">
      <w:pPr>
        <w:spacing w:before="0" w:after="0"/>
      </w:pPr>
      <w:r w:rsidRPr="00D50556">
        <w:t>Unemployment Compensation Fund</w:t>
      </w:r>
    </w:p>
    <w:p w14:paraId="0E8614BA" w14:textId="77777777" w:rsidR="001D2DD4" w:rsidRPr="00D50556" w:rsidRDefault="001D2DD4" w:rsidP="001D2DD4">
      <w:pPr>
        <w:spacing w:before="0" w:after="0"/>
      </w:pPr>
      <w:r w:rsidRPr="00D50556">
        <w:t>Waste Management Fund</w:t>
      </w:r>
    </w:p>
    <w:p w14:paraId="4E76DB3B" w14:textId="358963F8" w:rsidR="002D5E19" w:rsidRDefault="001D2DD4" w:rsidP="001D2DD4">
      <w:pPr>
        <w:spacing w:before="0" w:after="0"/>
      </w:pPr>
      <w:r w:rsidRPr="00D50556">
        <w:t>Wildlife Endowment Fund</w:t>
      </w:r>
    </w:p>
    <w:p w14:paraId="40C53928" w14:textId="77777777" w:rsidR="002D5E19" w:rsidRDefault="002D5E19" w:rsidP="001D2DD4">
      <w:pPr>
        <w:spacing w:before="0" w:after="0"/>
      </w:pPr>
    </w:p>
    <w:p w14:paraId="692E7B63" w14:textId="77777777" w:rsidR="002D5E19" w:rsidRDefault="002D5E19">
      <w:pPr>
        <w:spacing w:before="0" w:after="0"/>
        <w:jc w:val="left"/>
      </w:pPr>
      <w:r>
        <w:br w:type="page"/>
      </w:r>
    </w:p>
    <w:p w14:paraId="37406639" w14:textId="709AAF80" w:rsidR="002D5E19" w:rsidRDefault="002B6FF2" w:rsidP="003B02BA">
      <w:pPr>
        <w:pStyle w:val="Heading2"/>
      </w:pPr>
      <w:bookmarkStart w:id="414" w:name="_Toc166149316"/>
      <w:bookmarkStart w:id="415" w:name="_Hlk511048618"/>
      <w:r>
        <w:lastRenderedPageBreak/>
        <w:t xml:space="preserve">APPENDIX </w:t>
      </w:r>
      <w:r w:rsidR="002D5E19">
        <w:t>E</w:t>
      </w:r>
      <w:r>
        <w:t>—</w:t>
      </w:r>
      <w:r w:rsidRPr="002B6FF2">
        <w:t>R</w:t>
      </w:r>
      <w:r w:rsidR="00EB6B68">
        <w:t>EPORTING</w:t>
      </w:r>
      <w:r w:rsidRPr="002B6FF2">
        <w:t xml:space="preserve"> P</w:t>
      </w:r>
      <w:r w:rsidR="00EB6B68">
        <w:t>ACK</w:t>
      </w:r>
      <w:r w:rsidR="00F678F7">
        <w:t>AGE</w:t>
      </w:r>
      <w:r w:rsidRPr="002B6FF2">
        <w:t xml:space="preserve"> C</w:t>
      </w:r>
      <w:r w:rsidR="00EB6B68">
        <w:t>HANGES</w:t>
      </w:r>
      <w:bookmarkEnd w:id="414"/>
    </w:p>
    <w:bookmarkEnd w:id="415"/>
    <w:p w14:paraId="3C9E69B4" w14:textId="32269496" w:rsidR="003576D1" w:rsidRPr="003576D1" w:rsidRDefault="00313725" w:rsidP="003576D1">
      <w:r>
        <w:t>Note</w:t>
      </w:r>
      <w:r w:rsidR="003576D1" w:rsidRPr="003576D1">
        <w:t xml:space="preserve">:  </w:t>
      </w:r>
      <w:r w:rsidR="003576D1" w:rsidRPr="003F7CB9">
        <w:t xml:space="preserve">The </w:t>
      </w:r>
      <w:r w:rsidR="006E5F5C">
        <w:t xml:space="preserve">reporting package </w:t>
      </w:r>
      <w:r w:rsidR="003576D1" w:rsidRPr="003F7CB9">
        <w:t xml:space="preserve">signature </w:t>
      </w:r>
      <w:r w:rsidR="003F7CB9" w:rsidRPr="003F7CB9">
        <w:t>pages should</w:t>
      </w:r>
      <w:r w:rsidR="003576D1" w:rsidRPr="003F7CB9">
        <w:t xml:space="preserve"> be</w:t>
      </w:r>
      <w:r w:rsidR="003F7CB9">
        <w:t xml:space="preserve"> </w:t>
      </w:r>
      <w:r w:rsidR="003F7CB9" w:rsidRPr="003F7CB9">
        <w:t xml:space="preserve">completed, printed, signed and a PDF copy of the signed sheet sent via e-mail </w:t>
      </w:r>
      <w:r w:rsidR="003F7CB9">
        <w:t>(</w:t>
      </w:r>
      <w:r w:rsidR="003F7CB9" w:rsidRPr="003F7CB9">
        <w:t>A</w:t>
      </w:r>
      <w:r w:rsidR="005E0E8A">
        <w:t>C</w:t>
      </w:r>
      <w:r w:rsidR="003F7CB9" w:rsidRPr="003F7CB9">
        <w:t>FR@cg.sc.gov</w:t>
      </w:r>
      <w:r w:rsidR="003F7CB9">
        <w:t>)</w:t>
      </w:r>
      <w:r w:rsidR="003F7CB9" w:rsidRPr="003F7CB9">
        <w:t xml:space="preserve"> to the Comptroller General's </w:t>
      </w:r>
      <w:r w:rsidR="006E5F5C">
        <w:t>O</w:t>
      </w:r>
      <w:r w:rsidR="003F7CB9" w:rsidRPr="003F7CB9">
        <w:t xml:space="preserve">ffice when the Excel file of the related reporting package is </w:t>
      </w:r>
      <w:r w:rsidR="006E5F5C">
        <w:t>submitted</w:t>
      </w:r>
      <w:r w:rsidR="003F7CB9" w:rsidRPr="003F7CB9">
        <w:t>.</w:t>
      </w:r>
      <w:r w:rsidR="003576D1" w:rsidRPr="003F7CB9">
        <w:t xml:space="preserve"> </w:t>
      </w:r>
    </w:p>
    <w:tbl>
      <w:tblPr>
        <w:tblW w:w="6874" w:type="pct"/>
        <w:tblLayout w:type="fixed"/>
        <w:tblLook w:val="04A0" w:firstRow="1" w:lastRow="0" w:firstColumn="1" w:lastColumn="0" w:noHBand="0" w:noVBand="1"/>
      </w:tblPr>
      <w:tblGrid>
        <w:gridCol w:w="685"/>
        <w:gridCol w:w="304"/>
        <w:gridCol w:w="1504"/>
        <w:gridCol w:w="1139"/>
        <w:gridCol w:w="1037"/>
        <w:gridCol w:w="947"/>
        <w:gridCol w:w="194"/>
        <w:gridCol w:w="689"/>
        <w:gridCol w:w="346"/>
        <w:gridCol w:w="478"/>
        <w:gridCol w:w="284"/>
        <w:gridCol w:w="236"/>
        <w:gridCol w:w="880"/>
        <w:gridCol w:w="472"/>
        <w:gridCol w:w="236"/>
        <w:gridCol w:w="127"/>
        <w:gridCol w:w="784"/>
        <w:gridCol w:w="354"/>
        <w:gridCol w:w="1681"/>
        <w:gridCol w:w="245"/>
        <w:gridCol w:w="1434"/>
      </w:tblGrid>
      <w:tr w:rsidR="008E0B7E" w:rsidRPr="004A5F44" w14:paraId="4A310254" w14:textId="77777777" w:rsidTr="00F678F7">
        <w:trPr>
          <w:gridAfter w:val="3"/>
          <w:wAfter w:w="1195" w:type="pct"/>
          <w:trHeight w:val="300"/>
        </w:trPr>
        <w:tc>
          <w:tcPr>
            <w:tcW w:w="352" w:type="pct"/>
            <w:gridSpan w:val="2"/>
            <w:tcBorders>
              <w:top w:val="nil"/>
              <w:left w:val="nil"/>
              <w:bottom w:val="nil"/>
              <w:right w:val="nil"/>
            </w:tcBorders>
            <w:shd w:val="clear" w:color="auto" w:fill="auto"/>
            <w:noWrap/>
            <w:vAlign w:val="bottom"/>
            <w:hideMark/>
          </w:tcPr>
          <w:p w14:paraId="244A05CB" w14:textId="649486A5" w:rsidR="004A5F44" w:rsidRPr="004A5F44" w:rsidRDefault="004A5F44" w:rsidP="006E5F5C">
            <w:pPr>
              <w:spacing w:before="0" w:after="0"/>
              <w:ind w:right="-52"/>
              <w:contextualSpacing/>
              <w:jc w:val="left"/>
              <w:rPr>
                <w:rFonts w:ascii="Calibri" w:hAnsi="Calibri"/>
                <w:b/>
                <w:bCs/>
                <w:color w:val="000000"/>
                <w:sz w:val="22"/>
                <w:szCs w:val="22"/>
                <w:u w:val="single"/>
              </w:rPr>
            </w:pPr>
            <w:r w:rsidRPr="004A5F44">
              <w:rPr>
                <w:rFonts w:ascii="Calibri" w:hAnsi="Calibri"/>
                <w:b/>
                <w:bCs/>
                <w:color w:val="000000"/>
                <w:sz w:val="22"/>
                <w:szCs w:val="22"/>
                <w:u w:val="single"/>
              </w:rPr>
              <w:t>Pack</w:t>
            </w:r>
            <w:r w:rsidR="00F678F7">
              <w:rPr>
                <w:rFonts w:ascii="Calibri" w:hAnsi="Calibri"/>
                <w:b/>
                <w:bCs/>
                <w:color w:val="000000"/>
                <w:sz w:val="22"/>
                <w:szCs w:val="22"/>
                <w:u w:val="single"/>
              </w:rPr>
              <w:t>age</w:t>
            </w:r>
          </w:p>
        </w:tc>
        <w:tc>
          <w:tcPr>
            <w:tcW w:w="535" w:type="pct"/>
            <w:tcBorders>
              <w:top w:val="nil"/>
              <w:left w:val="nil"/>
              <w:bottom w:val="nil"/>
              <w:right w:val="nil"/>
            </w:tcBorders>
            <w:shd w:val="clear" w:color="auto" w:fill="auto"/>
            <w:noWrap/>
            <w:vAlign w:val="bottom"/>
            <w:hideMark/>
          </w:tcPr>
          <w:p w14:paraId="46CD09B3"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r w:rsidRPr="004A5F44">
              <w:rPr>
                <w:rFonts w:ascii="Calibri" w:hAnsi="Calibri"/>
                <w:b/>
                <w:bCs/>
                <w:color w:val="000000"/>
                <w:sz w:val="22"/>
                <w:szCs w:val="22"/>
                <w:u w:val="single"/>
              </w:rPr>
              <w:t>Title</w:t>
            </w:r>
          </w:p>
        </w:tc>
        <w:tc>
          <w:tcPr>
            <w:tcW w:w="1819" w:type="pct"/>
            <w:gridSpan w:val="8"/>
            <w:tcBorders>
              <w:top w:val="nil"/>
              <w:left w:val="nil"/>
              <w:bottom w:val="nil"/>
              <w:right w:val="nil"/>
            </w:tcBorders>
            <w:shd w:val="clear" w:color="auto" w:fill="auto"/>
            <w:noWrap/>
            <w:vAlign w:val="bottom"/>
            <w:hideMark/>
          </w:tcPr>
          <w:p w14:paraId="42F9E069" w14:textId="77777777" w:rsidR="004A5F44" w:rsidRPr="004A5F44" w:rsidRDefault="004A5F44" w:rsidP="006E5F5C">
            <w:pPr>
              <w:spacing w:before="0" w:after="0"/>
              <w:ind w:right="-52"/>
              <w:contextualSpacing/>
              <w:jc w:val="center"/>
              <w:rPr>
                <w:rFonts w:ascii="Calibri" w:hAnsi="Calibri"/>
                <w:b/>
                <w:bCs/>
                <w:color w:val="000000"/>
                <w:sz w:val="22"/>
                <w:szCs w:val="22"/>
                <w:u w:val="single"/>
              </w:rPr>
            </w:pPr>
            <w:r w:rsidRPr="004A5F44">
              <w:rPr>
                <w:rFonts w:ascii="Calibri" w:hAnsi="Calibri"/>
                <w:b/>
                <w:bCs/>
                <w:color w:val="000000"/>
                <w:sz w:val="22"/>
                <w:szCs w:val="22"/>
                <w:u w:val="single"/>
              </w:rPr>
              <w:t>Changes</w:t>
            </w:r>
          </w:p>
        </w:tc>
        <w:tc>
          <w:tcPr>
            <w:tcW w:w="84" w:type="pct"/>
            <w:tcBorders>
              <w:top w:val="nil"/>
              <w:left w:val="nil"/>
              <w:bottom w:val="nil"/>
              <w:right w:val="nil"/>
            </w:tcBorders>
            <w:shd w:val="clear" w:color="auto" w:fill="auto"/>
            <w:noWrap/>
            <w:vAlign w:val="bottom"/>
            <w:hideMark/>
          </w:tcPr>
          <w:p w14:paraId="0722E175" w14:textId="77777777" w:rsidR="004A5F44" w:rsidRPr="004A5F44" w:rsidRDefault="004A5F44" w:rsidP="006E5F5C">
            <w:pPr>
              <w:spacing w:before="0" w:after="0"/>
              <w:ind w:right="-52"/>
              <w:contextualSpacing/>
              <w:jc w:val="center"/>
              <w:rPr>
                <w:rFonts w:ascii="Calibri" w:hAnsi="Calibri"/>
                <w:b/>
                <w:bCs/>
                <w:color w:val="000000"/>
                <w:sz w:val="22"/>
                <w:szCs w:val="22"/>
                <w:u w:val="single"/>
              </w:rPr>
            </w:pPr>
          </w:p>
        </w:tc>
        <w:tc>
          <w:tcPr>
            <w:tcW w:w="481" w:type="pct"/>
            <w:gridSpan w:val="2"/>
            <w:tcBorders>
              <w:top w:val="nil"/>
              <w:left w:val="nil"/>
              <w:bottom w:val="nil"/>
              <w:right w:val="nil"/>
            </w:tcBorders>
            <w:shd w:val="clear" w:color="auto" w:fill="auto"/>
            <w:noWrap/>
            <w:vAlign w:val="bottom"/>
            <w:hideMark/>
          </w:tcPr>
          <w:p w14:paraId="602FF9A7" w14:textId="72CCE414" w:rsidR="004A5F44" w:rsidRPr="004A5F44" w:rsidRDefault="004A5F44" w:rsidP="006E5F5C">
            <w:pPr>
              <w:spacing w:before="0" w:after="0"/>
              <w:ind w:left="-67" w:right="-52"/>
              <w:contextualSpacing/>
              <w:jc w:val="left"/>
              <w:rPr>
                <w:rFonts w:ascii="Calibri" w:hAnsi="Calibri"/>
                <w:b/>
                <w:bCs/>
                <w:color w:val="000000"/>
                <w:sz w:val="22"/>
                <w:szCs w:val="22"/>
                <w:u w:val="single"/>
              </w:rPr>
            </w:pPr>
            <w:r w:rsidRPr="004A5F44">
              <w:rPr>
                <w:rFonts w:ascii="Calibri" w:hAnsi="Calibri"/>
                <w:b/>
                <w:bCs/>
                <w:color w:val="000000"/>
                <w:sz w:val="22"/>
                <w:szCs w:val="22"/>
                <w:u w:val="single"/>
              </w:rPr>
              <w:t xml:space="preserve">Responsible </w:t>
            </w:r>
            <w:r w:rsidR="00E24EB3">
              <w:rPr>
                <w:rFonts w:ascii="Calibri" w:hAnsi="Calibri"/>
                <w:b/>
                <w:bCs/>
                <w:color w:val="000000"/>
                <w:sz w:val="22"/>
                <w:szCs w:val="22"/>
                <w:u w:val="single"/>
              </w:rPr>
              <w:t>P</w:t>
            </w:r>
            <w:r w:rsidRPr="004A5F44">
              <w:rPr>
                <w:rFonts w:ascii="Calibri" w:hAnsi="Calibri"/>
                <w:b/>
                <w:bCs/>
                <w:color w:val="000000"/>
                <w:sz w:val="22"/>
                <w:szCs w:val="22"/>
                <w:u w:val="single"/>
              </w:rPr>
              <w:t>arty</w:t>
            </w:r>
          </w:p>
        </w:tc>
        <w:tc>
          <w:tcPr>
            <w:tcW w:w="84" w:type="pct"/>
            <w:tcBorders>
              <w:top w:val="nil"/>
              <w:left w:val="nil"/>
              <w:bottom w:val="nil"/>
              <w:right w:val="nil"/>
            </w:tcBorders>
            <w:shd w:val="clear" w:color="auto" w:fill="auto"/>
            <w:noWrap/>
            <w:vAlign w:val="bottom"/>
            <w:hideMark/>
          </w:tcPr>
          <w:p w14:paraId="2B8965B1"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vAlign w:val="bottom"/>
            <w:hideMark/>
          </w:tcPr>
          <w:p w14:paraId="510F11F7"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r w:rsidRPr="004A5F44">
              <w:rPr>
                <w:rFonts w:ascii="Calibri" w:hAnsi="Calibri"/>
                <w:b/>
                <w:bCs/>
                <w:color w:val="000000"/>
                <w:sz w:val="22"/>
                <w:szCs w:val="22"/>
                <w:u w:val="single"/>
              </w:rPr>
              <w:t>Contact Number</w:t>
            </w:r>
          </w:p>
        </w:tc>
      </w:tr>
      <w:tr w:rsidR="00AC4764" w:rsidRPr="004A5F44" w14:paraId="3842384D"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553322F0" w14:textId="77777777" w:rsidR="00AC4764" w:rsidRPr="004A5F44" w:rsidRDefault="00AC476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2.00</w:t>
            </w:r>
          </w:p>
        </w:tc>
        <w:tc>
          <w:tcPr>
            <w:tcW w:w="535" w:type="pct"/>
            <w:tcBorders>
              <w:top w:val="nil"/>
              <w:left w:val="nil"/>
              <w:bottom w:val="nil"/>
              <w:right w:val="nil"/>
            </w:tcBorders>
            <w:shd w:val="clear" w:color="auto" w:fill="auto"/>
            <w:noWrap/>
            <w:hideMark/>
          </w:tcPr>
          <w:p w14:paraId="25D02389" w14:textId="6AF47B39" w:rsidR="00AC4764" w:rsidRPr="004A5F44" w:rsidRDefault="00AC476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Master Reporting Pack</w:t>
            </w:r>
            <w:r w:rsidR="00F678F7">
              <w:rPr>
                <w:rFonts w:ascii="Calibri" w:hAnsi="Calibri"/>
                <w:color w:val="000000"/>
                <w:sz w:val="22"/>
                <w:szCs w:val="22"/>
              </w:rPr>
              <w:t>age</w:t>
            </w:r>
          </w:p>
        </w:tc>
        <w:tc>
          <w:tcPr>
            <w:tcW w:w="1819" w:type="pct"/>
            <w:gridSpan w:val="8"/>
            <w:tcBorders>
              <w:top w:val="nil"/>
              <w:left w:val="nil"/>
              <w:bottom w:val="nil"/>
              <w:right w:val="nil"/>
            </w:tcBorders>
            <w:shd w:val="clear" w:color="auto" w:fill="auto"/>
            <w:hideMark/>
          </w:tcPr>
          <w:p w14:paraId="36231F84" w14:textId="2295211A" w:rsidR="00AC4764" w:rsidRDefault="000B0350" w:rsidP="006E5F5C">
            <w:pPr>
              <w:spacing w:before="0"/>
              <w:ind w:right="-58"/>
              <w:contextualSpacing/>
              <w:jc w:val="left"/>
              <w:rPr>
                <w:rFonts w:ascii="Calibri" w:hAnsi="Calibri"/>
                <w:color w:val="000000"/>
                <w:sz w:val="22"/>
                <w:szCs w:val="22"/>
              </w:rPr>
            </w:pPr>
            <w:r>
              <w:rPr>
                <w:rFonts w:ascii="Calibri" w:hAnsi="Calibri"/>
                <w:color w:val="000000"/>
                <w:sz w:val="22"/>
                <w:szCs w:val="22"/>
              </w:rPr>
              <w:t>Some questions revised and/or deleted. Must be completed in Workiva.</w:t>
            </w:r>
          </w:p>
          <w:p w14:paraId="7C7CCBD6" w14:textId="321B8F9A" w:rsidR="00AC4764" w:rsidRPr="002D5D83" w:rsidRDefault="00AC4764" w:rsidP="006E5F5C">
            <w:pPr>
              <w:spacing w:before="0"/>
              <w:ind w:right="-58"/>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5AA4DC7B" w14:textId="77777777" w:rsidR="00AC4764" w:rsidRPr="004A5F44" w:rsidRDefault="00AC4764" w:rsidP="006E5F5C">
            <w:pPr>
              <w:spacing w:before="0" w:after="0"/>
              <w:ind w:right="-52"/>
              <w:contextualSpacing/>
              <w:jc w:val="left"/>
              <w:rPr>
                <w:rFonts w:ascii="Calibri" w:hAnsi="Calibri"/>
                <w:b/>
                <w:bCs/>
                <w:color w:val="000000"/>
                <w:sz w:val="22"/>
                <w:szCs w:val="22"/>
                <w:u w:val="single"/>
              </w:rPr>
            </w:pPr>
          </w:p>
        </w:tc>
        <w:tc>
          <w:tcPr>
            <w:tcW w:w="481" w:type="pct"/>
            <w:gridSpan w:val="2"/>
            <w:tcBorders>
              <w:top w:val="nil"/>
              <w:left w:val="nil"/>
              <w:bottom w:val="nil"/>
              <w:right w:val="nil"/>
            </w:tcBorders>
            <w:shd w:val="clear" w:color="auto" w:fill="auto"/>
            <w:noWrap/>
            <w:hideMark/>
          </w:tcPr>
          <w:p w14:paraId="01AB51C0" w14:textId="5AA1692F" w:rsidR="00AC4764" w:rsidRPr="004A5F44" w:rsidRDefault="00C95B21" w:rsidP="006E5F5C">
            <w:pPr>
              <w:spacing w:before="0" w:after="0"/>
              <w:ind w:right="-52"/>
              <w:contextualSpacing/>
              <w:jc w:val="left"/>
              <w:rPr>
                <w:rFonts w:ascii="Calibri" w:hAnsi="Calibri"/>
                <w:color w:val="000000"/>
                <w:sz w:val="22"/>
                <w:szCs w:val="22"/>
              </w:rPr>
            </w:pPr>
            <w:r>
              <w:rPr>
                <w:rFonts w:ascii="Calibri" w:hAnsi="Calibri"/>
                <w:color w:val="000000"/>
                <w:sz w:val="22"/>
                <w:szCs w:val="22"/>
              </w:rPr>
              <w:t>Sue Fisher</w:t>
            </w:r>
          </w:p>
        </w:tc>
        <w:tc>
          <w:tcPr>
            <w:tcW w:w="84" w:type="pct"/>
            <w:tcBorders>
              <w:top w:val="nil"/>
              <w:left w:val="nil"/>
              <w:bottom w:val="nil"/>
              <w:right w:val="nil"/>
            </w:tcBorders>
            <w:shd w:val="clear" w:color="auto" w:fill="auto"/>
            <w:noWrap/>
            <w:hideMark/>
          </w:tcPr>
          <w:p w14:paraId="246BD7EB" w14:textId="77777777" w:rsidR="00AC4764" w:rsidRPr="00F10CFC" w:rsidRDefault="00AC4764" w:rsidP="006E5F5C">
            <w:pPr>
              <w:spacing w:before="0" w:after="0"/>
              <w:ind w:right="-52"/>
              <w:contextualSpacing/>
              <w:jc w:val="left"/>
              <w:rPr>
                <w:rFonts w:ascii="Calibri" w:hAnsi="Calibri"/>
                <w:color w:val="000000"/>
                <w:sz w:val="22"/>
                <w:szCs w:val="22"/>
                <w:highlight w:val="yellow"/>
              </w:rPr>
            </w:pPr>
          </w:p>
        </w:tc>
        <w:tc>
          <w:tcPr>
            <w:tcW w:w="450" w:type="pct"/>
            <w:gridSpan w:val="3"/>
            <w:tcBorders>
              <w:top w:val="nil"/>
              <w:left w:val="nil"/>
              <w:bottom w:val="nil"/>
              <w:right w:val="nil"/>
            </w:tcBorders>
            <w:shd w:val="clear" w:color="auto" w:fill="auto"/>
            <w:noWrap/>
            <w:hideMark/>
          </w:tcPr>
          <w:p w14:paraId="58470972" w14:textId="15C10F84" w:rsidR="00AC4764" w:rsidRPr="00F10CFC" w:rsidRDefault="00AC4764" w:rsidP="006E5F5C">
            <w:pPr>
              <w:spacing w:before="0" w:after="0"/>
              <w:ind w:right="-52"/>
              <w:contextualSpacing/>
              <w:jc w:val="left"/>
              <w:rPr>
                <w:rFonts w:ascii="Calibri" w:hAnsi="Calibri"/>
                <w:color w:val="000000"/>
                <w:sz w:val="22"/>
                <w:szCs w:val="22"/>
                <w:highlight w:val="yellow"/>
              </w:rPr>
            </w:pPr>
            <w:r w:rsidRPr="00A34E1E">
              <w:rPr>
                <w:rFonts w:ascii="Calibri" w:hAnsi="Calibri"/>
                <w:color w:val="000000"/>
                <w:sz w:val="22"/>
                <w:szCs w:val="22"/>
              </w:rPr>
              <w:t>803-734-</w:t>
            </w:r>
            <w:r w:rsidR="00130FB9" w:rsidRPr="00F10CFC">
              <w:rPr>
                <w:rFonts w:ascii="Calibri" w:hAnsi="Calibri"/>
                <w:color w:val="000000"/>
                <w:sz w:val="22"/>
                <w:szCs w:val="22"/>
              </w:rPr>
              <w:t>2132</w:t>
            </w:r>
          </w:p>
        </w:tc>
      </w:tr>
      <w:tr w:rsidR="008E0B7E" w:rsidRPr="004A5F44" w14:paraId="3927AF9F"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2FD11E65"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0487CC81"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05" w:type="pct"/>
            <w:tcBorders>
              <w:top w:val="nil"/>
              <w:left w:val="nil"/>
              <w:bottom w:val="nil"/>
              <w:right w:val="nil"/>
            </w:tcBorders>
            <w:shd w:val="clear" w:color="auto" w:fill="auto"/>
            <w:hideMark/>
          </w:tcPr>
          <w:p w14:paraId="68BD3319" w14:textId="77777777" w:rsidR="004A5F44" w:rsidRPr="00E151B0" w:rsidRDefault="004A5F44" w:rsidP="006E5F5C">
            <w:pPr>
              <w:spacing w:before="0" w:after="0"/>
              <w:ind w:right="-52"/>
              <w:contextualSpacing/>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hideMark/>
          </w:tcPr>
          <w:p w14:paraId="3D5E35CD" w14:textId="77777777" w:rsidR="004A5F44" w:rsidRPr="00E151B0" w:rsidRDefault="004A5F44" w:rsidP="006E5F5C">
            <w:pPr>
              <w:spacing w:before="0" w:after="0"/>
              <w:ind w:right="-52"/>
              <w:contextualSpacing/>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hideMark/>
          </w:tcPr>
          <w:p w14:paraId="6242CCA4"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314" w:type="pct"/>
            <w:gridSpan w:val="2"/>
            <w:tcBorders>
              <w:top w:val="nil"/>
              <w:left w:val="nil"/>
              <w:bottom w:val="nil"/>
              <w:right w:val="nil"/>
            </w:tcBorders>
            <w:shd w:val="clear" w:color="auto" w:fill="auto"/>
            <w:hideMark/>
          </w:tcPr>
          <w:p w14:paraId="37B1A13F"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293" w:type="pct"/>
            <w:gridSpan w:val="2"/>
            <w:tcBorders>
              <w:top w:val="nil"/>
              <w:left w:val="nil"/>
              <w:bottom w:val="nil"/>
              <w:right w:val="nil"/>
            </w:tcBorders>
            <w:shd w:val="clear" w:color="auto" w:fill="auto"/>
            <w:hideMark/>
          </w:tcPr>
          <w:p w14:paraId="3483B66B"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101" w:type="pct"/>
            <w:tcBorders>
              <w:top w:val="nil"/>
              <w:left w:val="nil"/>
              <w:bottom w:val="nil"/>
              <w:right w:val="nil"/>
            </w:tcBorders>
            <w:shd w:val="clear" w:color="auto" w:fill="auto"/>
            <w:hideMark/>
          </w:tcPr>
          <w:p w14:paraId="3BF9FA1E"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FFD232B"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p>
        </w:tc>
        <w:tc>
          <w:tcPr>
            <w:tcW w:w="481" w:type="pct"/>
            <w:gridSpan w:val="2"/>
            <w:tcBorders>
              <w:top w:val="nil"/>
              <w:left w:val="nil"/>
              <w:bottom w:val="nil"/>
              <w:right w:val="nil"/>
            </w:tcBorders>
            <w:shd w:val="clear" w:color="auto" w:fill="auto"/>
            <w:noWrap/>
            <w:hideMark/>
          </w:tcPr>
          <w:p w14:paraId="2D3B1365"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4E63DD63"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830F4AE" w14:textId="77777777" w:rsidR="004A5F44" w:rsidRPr="004A5F44" w:rsidRDefault="004A5F44" w:rsidP="006E5F5C">
            <w:pPr>
              <w:spacing w:before="0" w:after="0"/>
              <w:ind w:right="-52"/>
              <w:contextualSpacing/>
              <w:jc w:val="left"/>
              <w:rPr>
                <w:rFonts w:ascii="Calibri" w:hAnsi="Calibri"/>
                <w:color w:val="000000"/>
                <w:sz w:val="22"/>
                <w:szCs w:val="22"/>
              </w:rPr>
            </w:pPr>
          </w:p>
        </w:tc>
      </w:tr>
      <w:tr w:rsidR="00AC4764" w:rsidRPr="004A5F44" w14:paraId="16E3331E"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42893CA1" w14:textId="77777777" w:rsidR="00AC4764" w:rsidRPr="004A5F44" w:rsidRDefault="00AC476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2.10</w:t>
            </w:r>
          </w:p>
        </w:tc>
        <w:tc>
          <w:tcPr>
            <w:tcW w:w="535" w:type="pct"/>
            <w:tcBorders>
              <w:top w:val="nil"/>
              <w:left w:val="nil"/>
              <w:bottom w:val="nil"/>
              <w:right w:val="nil"/>
            </w:tcBorders>
            <w:shd w:val="clear" w:color="auto" w:fill="auto"/>
            <w:noWrap/>
            <w:hideMark/>
          </w:tcPr>
          <w:p w14:paraId="25E7CC79" w14:textId="77777777" w:rsidR="00AC4764" w:rsidRPr="004A5F44" w:rsidRDefault="00AC476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Subsequent events</w:t>
            </w:r>
          </w:p>
        </w:tc>
        <w:tc>
          <w:tcPr>
            <w:tcW w:w="1819" w:type="pct"/>
            <w:gridSpan w:val="8"/>
            <w:tcBorders>
              <w:top w:val="nil"/>
              <w:left w:val="nil"/>
              <w:bottom w:val="nil"/>
              <w:right w:val="nil"/>
            </w:tcBorders>
            <w:shd w:val="clear" w:color="auto" w:fill="auto"/>
            <w:hideMark/>
          </w:tcPr>
          <w:p w14:paraId="489C0B95" w14:textId="6FBD087E" w:rsidR="00AC4764" w:rsidRPr="00E151B0" w:rsidRDefault="00896426" w:rsidP="006E5F5C">
            <w:pPr>
              <w:spacing w:before="0"/>
              <w:ind w:right="-58"/>
              <w:contextualSpacing/>
              <w:jc w:val="left"/>
              <w:rPr>
                <w:rFonts w:ascii="Calibri" w:hAnsi="Calibri"/>
                <w:color w:val="000000"/>
                <w:sz w:val="22"/>
                <w:szCs w:val="22"/>
                <w:highlight w:val="yellow"/>
              </w:rPr>
            </w:pPr>
            <w:r>
              <w:rPr>
                <w:rFonts w:ascii="Calibri" w:hAnsi="Calibri"/>
                <w:color w:val="000000"/>
                <w:sz w:val="22"/>
                <w:szCs w:val="22"/>
              </w:rPr>
              <w:t>Package can’t be submitted</w:t>
            </w:r>
            <w:r w:rsidR="00AC4764">
              <w:rPr>
                <w:rFonts w:ascii="Calibri" w:hAnsi="Calibri"/>
                <w:color w:val="000000"/>
                <w:sz w:val="22"/>
                <w:szCs w:val="22"/>
              </w:rPr>
              <w:t xml:space="preserve"> prior to</w:t>
            </w:r>
            <w:r w:rsidR="000B0350">
              <w:rPr>
                <w:rFonts w:ascii="Calibri" w:hAnsi="Calibri"/>
                <w:color w:val="000000"/>
                <w:sz w:val="22"/>
                <w:szCs w:val="22"/>
              </w:rPr>
              <w:t xml:space="preserve"> October 31, 2025</w:t>
            </w:r>
            <w:r>
              <w:rPr>
                <w:rFonts w:ascii="Calibri" w:hAnsi="Calibri"/>
                <w:color w:val="000000"/>
                <w:sz w:val="22"/>
                <w:szCs w:val="22"/>
              </w:rPr>
              <w:t>.</w:t>
            </w:r>
          </w:p>
        </w:tc>
        <w:tc>
          <w:tcPr>
            <w:tcW w:w="84" w:type="pct"/>
            <w:tcBorders>
              <w:top w:val="nil"/>
              <w:left w:val="nil"/>
              <w:bottom w:val="nil"/>
              <w:right w:val="nil"/>
            </w:tcBorders>
            <w:shd w:val="clear" w:color="auto" w:fill="auto"/>
            <w:noWrap/>
            <w:hideMark/>
          </w:tcPr>
          <w:p w14:paraId="257533DD" w14:textId="77777777" w:rsidR="00AC4764" w:rsidRPr="004A5F44" w:rsidRDefault="00AC4764" w:rsidP="006E5F5C">
            <w:pPr>
              <w:spacing w:before="0" w:after="0"/>
              <w:ind w:right="-52"/>
              <w:contextualSpacing/>
              <w:jc w:val="left"/>
              <w:rPr>
                <w:rFonts w:ascii="Calibri" w:hAnsi="Calibri"/>
                <w:b/>
                <w:bCs/>
                <w:color w:val="000000"/>
                <w:sz w:val="22"/>
                <w:szCs w:val="22"/>
                <w:u w:val="single"/>
              </w:rPr>
            </w:pPr>
          </w:p>
        </w:tc>
        <w:tc>
          <w:tcPr>
            <w:tcW w:w="481" w:type="pct"/>
            <w:gridSpan w:val="2"/>
            <w:tcBorders>
              <w:top w:val="nil"/>
              <w:left w:val="nil"/>
              <w:bottom w:val="nil"/>
              <w:right w:val="nil"/>
            </w:tcBorders>
            <w:shd w:val="clear" w:color="auto" w:fill="auto"/>
            <w:noWrap/>
            <w:hideMark/>
          </w:tcPr>
          <w:p w14:paraId="1C536BDF" w14:textId="2C3EF6FD" w:rsidR="00AC4764"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Sue Fisher</w:t>
            </w:r>
          </w:p>
        </w:tc>
        <w:tc>
          <w:tcPr>
            <w:tcW w:w="84" w:type="pct"/>
            <w:tcBorders>
              <w:top w:val="nil"/>
              <w:left w:val="nil"/>
              <w:bottom w:val="nil"/>
              <w:right w:val="nil"/>
            </w:tcBorders>
            <w:shd w:val="clear" w:color="auto" w:fill="auto"/>
            <w:noWrap/>
            <w:hideMark/>
          </w:tcPr>
          <w:p w14:paraId="475E0189" w14:textId="77777777" w:rsidR="00AC4764" w:rsidRPr="004A5F44" w:rsidRDefault="00AC476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7C6DAF18" w14:textId="7CA6EAD9" w:rsidR="00AC4764" w:rsidRPr="004A5F44" w:rsidRDefault="00AC476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2132</w:t>
            </w:r>
          </w:p>
        </w:tc>
      </w:tr>
      <w:tr w:rsidR="008E0B7E" w:rsidRPr="004A5F44" w14:paraId="3F865A63"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280C7A59"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01BE7FB4"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05" w:type="pct"/>
            <w:tcBorders>
              <w:top w:val="nil"/>
              <w:left w:val="nil"/>
              <w:bottom w:val="nil"/>
              <w:right w:val="nil"/>
            </w:tcBorders>
            <w:shd w:val="clear" w:color="auto" w:fill="auto"/>
            <w:noWrap/>
            <w:hideMark/>
          </w:tcPr>
          <w:p w14:paraId="0435C7EE" w14:textId="77777777" w:rsidR="004A5F44" w:rsidRPr="00E151B0" w:rsidRDefault="004A5F44" w:rsidP="006E5F5C">
            <w:pPr>
              <w:spacing w:before="0" w:after="0"/>
              <w:ind w:right="-52"/>
              <w:contextualSpacing/>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noWrap/>
            <w:hideMark/>
          </w:tcPr>
          <w:p w14:paraId="1E439709" w14:textId="77777777" w:rsidR="004A5F44" w:rsidRPr="00E151B0" w:rsidRDefault="004A5F44" w:rsidP="006E5F5C">
            <w:pPr>
              <w:spacing w:before="0" w:after="0"/>
              <w:ind w:right="-52"/>
              <w:contextualSpacing/>
              <w:jc w:val="left"/>
              <w:rPr>
                <w:rFonts w:ascii="Calibri" w:hAnsi="Calibri"/>
                <w:b/>
                <w:bCs/>
                <w:color w:val="000000"/>
                <w:sz w:val="22"/>
                <w:szCs w:val="22"/>
                <w:highlight w:val="yellow"/>
                <w:u w:val="single"/>
              </w:rPr>
            </w:pPr>
          </w:p>
        </w:tc>
        <w:tc>
          <w:tcPr>
            <w:tcW w:w="337" w:type="pct"/>
            <w:tcBorders>
              <w:top w:val="nil"/>
              <w:left w:val="nil"/>
              <w:bottom w:val="nil"/>
              <w:right w:val="nil"/>
            </w:tcBorders>
            <w:shd w:val="clear" w:color="auto" w:fill="auto"/>
            <w:noWrap/>
            <w:hideMark/>
          </w:tcPr>
          <w:p w14:paraId="2205E6C4"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p>
        </w:tc>
        <w:tc>
          <w:tcPr>
            <w:tcW w:w="314" w:type="pct"/>
            <w:gridSpan w:val="2"/>
            <w:tcBorders>
              <w:top w:val="nil"/>
              <w:left w:val="nil"/>
              <w:bottom w:val="nil"/>
              <w:right w:val="nil"/>
            </w:tcBorders>
            <w:shd w:val="clear" w:color="auto" w:fill="auto"/>
            <w:noWrap/>
            <w:hideMark/>
          </w:tcPr>
          <w:p w14:paraId="5772A1C4"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p>
        </w:tc>
        <w:tc>
          <w:tcPr>
            <w:tcW w:w="293" w:type="pct"/>
            <w:gridSpan w:val="2"/>
            <w:tcBorders>
              <w:top w:val="nil"/>
              <w:left w:val="nil"/>
              <w:bottom w:val="nil"/>
              <w:right w:val="nil"/>
            </w:tcBorders>
            <w:shd w:val="clear" w:color="auto" w:fill="auto"/>
            <w:noWrap/>
            <w:hideMark/>
          </w:tcPr>
          <w:p w14:paraId="63B4B301"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p>
        </w:tc>
        <w:tc>
          <w:tcPr>
            <w:tcW w:w="101" w:type="pct"/>
            <w:tcBorders>
              <w:top w:val="nil"/>
              <w:left w:val="nil"/>
              <w:bottom w:val="nil"/>
              <w:right w:val="nil"/>
            </w:tcBorders>
            <w:shd w:val="clear" w:color="auto" w:fill="auto"/>
            <w:noWrap/>
            <w:hideMark/>
          </w:tcPr>
          <w:p w14:paraId="26442AF2"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p>
        </w:tc>
        <w:tc>
          <w:tcPr>
            <w:tcW w:w="84" w:type="pct"/>
            <w:tcBorders>
              <w:top w:val="nil"/>
              <w:left w:val="nil"/>
              <w:bottom w:val="nil"/>
              <w:right w:val="nil"/>
            </w:tcBorders>
            <w:shd w:val="clear" w:color="auto" w:fill="auto"/>
            <w:noWrap/>
            <w:hideMark/>
          </w:tcPr>
          <w:p w14:paraId="203049E0" w14:textId="77777777" w:rsidR="004A5F44" w:rsidRPr="004A5F44" w:rsidRDefault="004A5F44" w:rsidP="006E5F5C">
            <w:pPr>
              <w:spacing w:before="0" w:after="0"/>
              <w:ind w:right="-52"/>
              <w:contextualSpacing/>
              <w:jc w:val="left"/>
              <w:rPr>
                <w:rFonts w:ascii="Calibri" w:hAnsi="Calibri"/>
                <w:b/>
                <w:bCs/>
                <w:color w:val="000000"/>
                <w:sz w:val="22"/>
                <w:szCs w:val="22"/>
                <w:u w:val="single"/>
              </w:rPr>
            </w:pPr>
          </w:p>
        </w:tc>
        <w:tc>
          <w:tcPr>
            <w:tcW w:w="481" w:type="pct"/>
            <w:gridSpan w:val="2"/>
            <w:tcBorders>
              <w:top w:val="nil"/>
              <w:left w:val="nil"/>
              <w:bottom w:val="nil"/>
              <w:right w:val="nil"/>
            </w:tcBorders>
            <w:shd w:val="clear" w:color="auto" w:fill="auto"/>
            <w:noWrap/>
            <w:hideMark/>
          </w:tcPr>
          <w:p w14:paraId="778EE68C"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402F7056"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76F5673C" w14:textId="77777777" w:rsidR="004A5F44" w:rsidRPr="004A5F44" w:rsidRDefault="004A5F44" w:rsidP="006E5F5C">
            <w:pPr>
              <w:spacing w:before="0" w:after="0"/>
              <w:ind w:right="-52"/>
              <w:contextualSpacing/>
              <w:jc w:val="left"/>
              <w:rPr>
                <w:rFonts w:ascii="Calibri" w:hAnsi="Calibri"/>
                <w:color w:val="000000"/>
                <w:sz w:val="22"/>
                <w:szCs w:val="22"/>
              </w:rPr>
            </w:pPr>
          </w:p>
        </w:tc>
      </w:tr>
      <w:tr w:rsidR="008E0B7E" w:rsidRPr="004A5F44" w14:paraId="3C67C2D9"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20466FE5" w14:textId="77777777" w:rsidR="004A5F44" w:rsidRPr="004A5F44" w:rsidRDefault="004A5F4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3.01</w:t>
            </w:r>
          </w:p>
        </w:tc>
        <w:tc>
          <w:tcPr>
            <w:tcW w:w="535" w:type="pct"/>
            <w:tcBorders>
              <w:top w:val="nil"/>
              <w:left w:val="nil"/>
              <w:bottom w:val="nil"/>
              <w:right w:val="nil"/>
            </w:tcBorders>
            <w:shd w:val="clear" w:color="auto" w:fill="auto"/>
            <w:noWrap/>
            <w:hideMark/>
          </w:tcPr>
          <w:p w14:paraId="493F5532" w14:textId="77777777" w:rsidR="004A5F44" w:rsidRPr="004A5F44" w:rsidRDefault="004A5F4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Cash</w:t>
            </w:r>
          </w:p>
        </w:tc>
        <w:tc>
          <w:tcPr>
            <w:tcW w:w="1819" w:type="pct"/>
            <w:gridSpan w:val="8"/>
            <w:tcBorders>
              <w:top w:val="nil"/>
              <w:left w:val="nil"/>
              <w:bottom w:val="nil"/>
              <w:right w:val="nil"/>
            </w:tcBorders>
            <w:shd w:val="clear" w:color="auto" w:fill="auto"/>
            <w:hideMark/>
          </w:tcPr>
          <w:p w14:paraId="1DB43110" w14:textId="00553EDA" w:rsidR="004A5F44" w:rsidRPr="00E151B0" w:rsidRDefault="00896426" w:rsidP="006E5F5C">
            <w:pPr>
              <w:spacing w:before="0" w:after="0"/>
              <w:ind w:right="-52"/>
              <w:contextualSpacing/>
              <w:jc w:val="left"/>
              <w:rPr>
                <w:rFonts w:ascii="Calibri" w:hAnsi="Calibri"/>
                <w:color w:val="000000"/>
                <w:sz w:val="22"/>
                <w:szCs w:val="22"/>
                <w:highlight w:val="yellow"/>
              </w:rPr>
            </w:pPr>
            <w:r>
              <w:rPr>
                <w:rFonts w:ascii="Calibri" w:hAnsi="Calibri"/>
                <w:color w:val="000000"/>
                <w:sz w:val="22"/>
                <w:szCs w:val="22"/>
              </w:rPr>
              <w:t>No changes.</w:t>
            </w:r>
          </w:p>
        </w:tc>
        <w:tc>
          <w:tcPr>
            <w:tcW w:w="84" w:type="pct"/>
            <w:tcBorders>
              <w:top w:val="nil"/>
              <w:left w:val="nil"/>
              <w:bottom w:val="nil"/>
              <w:right w:val="nil"/>
            </w:tcBorders>
            <w:shd w:val="clear" w:color="auto" w:fill="auto"/>
            <w:noWrap/>
            <w:hideMark/>
          </w:tcPr>
          <w:p w14:paraId="24CAFABF"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1A023340" w14:textId="77777777" w:rsidR="004A5F44" w:rsidRPr="004A5F44" w:rsidRDefault="00AC4764" w:rsidP="006E5F5C">
            <w:pPr>
              <w:spacing w:before="0" w:after="0"/>
              <w:ind w:right="-52"/>
              <w:contextualSpacing/>
              <w:jc w:val="left"/>
              <w:rPr>
                <w:rFonts w:ascii="Calibri" w:hAnsi="Calibri"/>
                <w:color w:val="000000"/>
                <w:sz w:val="22"/>
                <w:szCs w:val="22"/>
              </w:rPr>
            </w:pPr>
            <w:r>
              <w:rPr>
                <w:rFonts w:ascii="Calibri" w:hAnsi="Calibri"/>
                <w:color w:val="000000"/>
                <w:sz w:val="22"/>
                <w:szCs w:val="22"/>
              </w:rPr>
              <w:t xml:space="preserve">Katherine </w:t>
            </w:r>
            <w:r w:rsidR="00531FE1">
              <w:rPr>
                <w:rFonts w:ascii="Calibri" w:hAnsi="Calibri"/>
                <w:color w:val="000000"/>
                <w:sz w:val="22"/>
                <w:szCs w:val="22"/>
              </w:rPr>
              <w:t>Kip</w:t>
            </w:r>
          </w:p>
        </w:tc>
        <w:tc>
          <w:tcPr>
            <w:tcW w:w="84" w:type="pct"/>
            <w:tcBorders>
              <w:top w:val="nil"/>
              <w:left w:val="nil"/>
              <w:bottom w:val="nil"/>
              <w:right w:val="nil"/>
            </w:tcBorders>
            <w:shd w:val="clear" w:color="auto" w:fill="auto"/>
            <w:noWrap/>
            <w:hideMark/>
          </w:tcPr>
          <w:p w14:paraId="6174EB20"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5D6D1266" w14:textId="77777777" w:rsidR="004A5F44" w:rsidRPr="004A5F44" w:rsidRDefault="004A5F4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803-734-5043</w:t>
            </w:r>
          </w:p>
        </w:tc>
      </w:tr>
      <w:tr w:rsidR="008E0B7E" w:rsidRPr="004A5F44" w14:paraId="48AADBD2"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5F76B597"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682144FC"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05" w:type="pct"/>
            <w:tcBorders>
              <w:top w:val="nil"/>
              <w:left w:val="nil"/>
              <w:bottom w:val="nil"/>
              <w:right w:val="nil"/>
            </w:tcBorders>
            <w:shd w:val="clear" w:color="auto" w:fill="auto"/>
            <w:hideMark/>
          </w:tcPr>
          <w:p w14:paraId="5F605D4C" w14:textId="77777777" w:rsidR="004A5F44" w:rsidRPr="00E151B0" w:rsidRDefault="004A5F44" w:rsidP="006E5F5C">
            <w:pPr>
              <w:spacing w:before="0" w:after="0"/>
              <w:ind w:right="-52"/>
              <w:contextualSpacing/>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hideMark/>
          </w:tcPr>
          <w:p w14:paraId="0EE82014" w14:textId="77777777" w:rsidR="004A5F44" w:rsidRPr="00E151B0" w:rsidRDefault="004A5F44" w:rsidP="006E5F5C">
            <w:pPr>
              <w:spacing w:before="0" w:after="0"/>
              <w:ind w:right="-52"/>
              <w:contextualSpacing/>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hideMark/>
          </w:tcPr>
          <w:p w14:paraId="7A234F37"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314" w:type="pct"/>
            <w:gridSpan w:val="2"/>
            <w:tcBorders>
              <w:top w:val="nil"/>
              <w:left w:val="nil"/>
              <w:bottom w:val="nil"/>
              <w:right w:val="nil"/>
            </w:tcBorders>
            <w:shd w:val="clear" w:color="auto" w:fill="auto"/>
            <w:hideMark/>
          </w:tcPr>
          <w:p w14:paraId="37A2FAC6"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293" w:type="pct"/>
            <w:gridSpan w:val="2"/>
            <w:tcBorders>
              <w:top w:val="nil"/>
              <w:left w:val="nil"/>
              <w:bottom w:val="nil"/>
              <w:right w:val="nil"/>
            </w:tcBorders>
            <w:shd w:val="clear" w:color="auto" w:fill="auto"/>
            <w:hideMark/>
          </w:tcPr>
          <w:p w14:paraId="027B5945"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101" w:type="pct"/>
            <w:tcBorders>
              <w:top w:val="nil"/>
              <w:left w:val="nil"/>
              <w:bottom w:val="nil"/>
              <w:right w:val="nil"/>
            </w:tcBorders>
            <w:shd w:val="clear" w:color="auto" w:fill="auto"/>
            <w:hideMark/>
          </w:tcPr>
          <w:p w14:paraId="511C6FA7"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4AF42D5D"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147D3582"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227A8535"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515518F2" w14:textId="77777777" w:rsidR="004A5F44" w:rsidRPr="004A5F44" w:rsidRDefault="004A5F44" w:rsidP="006E5F5C">
            <w:pPr>
              <w:spacing w:before="0" w:after="0"/>
              <w:ind w:right="-52"/>
              <w:contextualSpacing/>
              <w:jc w:val="left"/>
              <w:rPr>
                <w:rFonts w:ascii="Calibri" w:hAnsi="Calibri"/>
                <w:color w:val="000000"/>
                <w:sz w:val="22"/>
                <w:szCs w:val="22"/>
              </w:rPr>
            </w:pPr>
          </w:p>
        </w:tc>
      </w:tr>
      <w:tr w:rsidR="009A6EDF" w:rsidRPr="004A5F44" w14:paraId="189A2A52"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5DBFF44F" w14:textId="77777777" w:rsidR="009A6EDF" w:rsidRPr="004A5F44" w:rsidRDefault="009A6EDF"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3.02</w:t>
            </w:r>
          </w:p>
        </w:tc>
        <w:tc>
          <w:tcPr>
            <w:tcW w:w="535" w:type="pct"/>
            <w:tcBorders>
              <w:top w:val="nil"/>
              <w:left w:val="nil"/>
              <w:bottom w:val="nil"/>
              <w:right w:val="nil"/>
            </w:tcBorders>
            <w:shd w:val="clear" w:color="auto" w:fill="auto"/>
            <w:noWrap/>
            <w:hideMark/>
          </w:tcPr>
          <w:p w14:paraId="280C5F8E" w14:textId="77777777" w:rsidR="009A6EDF" w:rsidRPr="004A5F44" w:rsidRDefault="009A6EDF"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Tax Revenue</w:t>
            </w:r>
          </w:p>
        </w:tc>
        <w:tc>
          <w:tcPr>
            <w:tcW w:w="1819" w:type="pct"/>
            <w:gridSpan w:val="8"/>
            <w:tcBorders>
              <w:top w:val="nil"/>
              <w:left w:val="nil"/>
              <w:bottom w:val="nil"/>
              <w:right w:val="nil"/>
            </w:tcBorders>
            <w:shd w:val="clear" w:color="auto" w:fill="auto"/>
            <w:hideMark/>
          </w:tcPr>
          <w:p w14:paraId="7DBA90CA" w14:textId="71F18511" w:rsidR="009A6EDF" w:rsidRPr="00E151B0" w:rsidRDefault="000B0350" w:rsidP="006E5F5C">
            <w:pPr>
              <w:spacing w:before="0" w:after="0"/>
              <w:ind w:right="-52"/>
              <w:contextualSpacing/>
              <w:jc w:val="left"/>
              <w:rPr>
                <w:rFonts w:ascii="Calibri" w:hAnsi="Calibri"/>
                <w:color w:val="000000"/>
                <w:sz w:val="22"/>
                <w:szCs w:val="22"/>
                <w:highlight w:val="yellow"/>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79519D26" w14:textId="77777777" w:rsidR="009A6EDF" w:rsidRPr="004A5F44" w:rsidRDefault="009A6EDF" w:rsidP="006E5F5C">
            <w:pPr>
              <w:spacing w:before="0" w:after="0"/>
              <w:ind w:right="-52"/>
              <w:contextualSpacing/>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B06C01A" w14:textId="1FC35071" w:rsidR="009A6EDF"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Katherine Kip</w:t>
            </w:r>
          </w:p>
        </w:tc>
        <w:tc>
          <w:tcPr>
            <w:tcW w:w="84" w:type="pct"/>
            <w:tcBorders>
              <w:top w:val="nil"/>
              <w:left w:val="nil"/>
              <w:bottom w:val="nil"/>
              <w:right w:val="nil"/>
            </w:tcBorders>
            <w:shd w:val="clear" w:color="auto" w:fill="auto"/>
            <w:noWrap/>
            <w:hideMark/>
          </w:tcPr>
          <w:p w14:paraId="5D0484AD" w14:textId="77777777" w:rsidR="009A6EDF" w:rsidRPr="004A5F44" w:rsidRDefault="009A6EDF"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162DBE2" w14:textId="26FB67E5" w:rsidR="009A6EDF" w:rsidRPr="004A5F44" w:rsidRDefault="009A6EDF"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5043</w:t>
            </w:r>
          </w:p>
        </w:tc>
      </w:tr>
      <w:tr w:rsidR="008E0B7E" w:rsidRPr="004A5F44" w14:paraId="7BFD80DE"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2EC6B2E7"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17CA0344"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05" w:type="pct"/>
            <w:tcBorders>
              <w:top w:val="nil"/>
              <w:left w:val="nil"/>
              <w:bottom w:val="nil"/>
              <w:right w:val="nil"/>
            </w:tcBorders>
            <w:shd w:val="clear" w:color="auto" w:fill="auto"/>
            <w:hideMark/>
          </w:tcPr>
          <w:p w14:paraId="3BEBF5C9"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369" w:type="pct"/>
            <w:tcBorders>
              <w:top w:val="nil"/>
              <w:left w:val="nil"/>
              <w:bottom w:val="nil"/>
              <w:right w:val="nil"/>
            </w:tcBorders>
            <w:shd w:val="clear" w:color="auto" w:fill="auto"/>
            <w:hideMark/>
          </w:tcPr>
          <w:p w14:paraId="6640EEB1"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337" w:type="pct"/>
            <w:tcBorders>
              <w:top w:val="nil"/>
              <w:left w:val="nil"/>
              <w:bottom w:val="nil"/>
              <w:right w:val="nil"/>
            </w:tcBorders>
            <w:shd w:val="clear" w:color="auto" w:fill="auto"/>
            <w:hideMark/>
          </w:tcPr>
          <w:p w14:paraId="6411F1DD"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314" w:type="pct"/>
            <w:gridSpan w:val="2"/>
            <w:tcBorders>
              <w:top w:val="nil"/>
              <w:left w:val="nil"/>
              <w:bottom w:val="nil"/>
              <w:right w:val="nil"/>
            </w:tcBorders>
            <w:shd w:val="clear" w:color="auto" w:fill="auto"/>
            <w:hideMark/>
          </w:tcPr>
          <w:p w14:paraId="1F7884E7"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293" w:type="pct"/>
            <w:gridSpan w:val="2"/>
            <w:tcBorders>
              <w:top w:val="nil"/>
              <w:left w:val="nil"/>
              <w:bottom w:val="nil"/>
              <w:right w:val="nil"/>
            </w:tcBorders>
            <w:shd w:val="clear" w:color="auto" w:fill="auto"/>
            <w:hideMark/>
          </w:tcPr>
          <w:p w14:paraId="6D8F4EAF"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101" w:type="pct"/>
            <w:tcBorders>
              <w:top w:val="nil"/>
              <w:left w:val="nil"/>
              <w:bottom w:val="nil"/>
              <w:right w:val="nil"/>
            </w:tcBorders>
            <w:shd w:val="clear" w:color="auto" w:fill="auto"/>
            <w:hideMark/>
          </w:tcPr>
          <w:p w14:paraId="2DCA7554"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4B03E4C4"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6F6C1774"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20CCBEB2"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9BC6863" w14:textId="77777777" w:rsidR="004A5F44" w:rsidRPr="004A5F44" w:rsidRDefault="004A5F44" w:rsidP="006E5F5C">
            <w:pPr>
              <w:spacing w:before="0" w:after="0"/>
              <w:ind w:right="-52"/>
              <w:contextualSpacing/>
              <w:jc w:val="left"/>
              <w:rPr>
                <w:rFonts w:ascii="Calibri" w:hAnsi="Calibri"/>
                <w:color w:val="000000"/>
                <w:sz w:val="22"/>
                <w:szCs w:val="22"/>
              </w:rPr>
            </w:pPr>
          </w:p>
        </w:tc>
      </w:tr>
      <w:tr w:rsidR="008E0B7E" w:rsidRPr="004A5F44" w14:paraId="5D244AAB"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4745BBDC" w14:textId="77777777" w:rsidR="004A5F44" w:rsidRPr="004A5F44" w:rsidRDefault="004A5F4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3.03 *</w:t>
            </w:r>
          </w:p>
        </w:tc>
        <w:tc>
          <w:tcPr>
            <w:tcW w:w="535" w:type="pct"/>
            <w:tcBorders>
              <w:top w:val="nil"/>
              <w:left w:val="nil"/>
              <w:bottom w:val="nil"/>
              <w:right w:val="nil"/>
            </w:tcBorders>
            <w:shd w:val="clear" w:color="auto" w:fill="auto"/>
            <w:noWrap/>
            <w:hideMark/>
          </w:tcPr>
          <w:p w14:paraId="5944C076" w14:textId="77777777" w:rsidR="004A5F44" w:rsidRPr="004A5F44" w:rsidRDefault="004A5F4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Grants/</w:t>
            </w:r>
            <w:r w:rsidR="008E0B7E">
              <w:rPr>
                <w:rFonts w:ascii="Calibri" w:hAnsi="Calibri"/>
                <w:color w:val="000000"/>
                <w:sz w:val="22"/>
                <w:szCs w:val="22"/>
              </w:rPr>
              <w:t xml:space="preserve"> </w:t>
            </w:r>
            <w:r w:rsidRPr="004A5F44">
              <w:rPr>
                <w:rFonts w:ascii="Calibri" w:hAnsi="Calibri"/>
                <w:color w:val="000000"/>
                <w:sz w:val="22"/>
                <w:szCs w:val="22"/>
              </w:rPr>
              <w:t>Contributions Receivable</w:t>
            </w:r>
          </w:p>
        </w:tc>
        <w:tc>
          <w:tcPr>
            <w:tcW w:w="1819" w:type="pct"/>
            <w:gridSpan w:val="8"/>
            <w:vMerge w:val="restart"/>
            <w:tcBorders>
              <w:top w:val="nil"/>
              <w:left w:val="nil"/>
              <w:bottom w:val="nil"/>
              <w:right w:val="nil"/>
            </w:tcBorders>
            <w:shd w:val="clear" w:color="auto" w:fill="auto"/>
            <w:hideMark/>
          </w:tcPr>
          <w:p w14:paraId="3D984B08" w14:textId="62DF4C1A" w:rsidR="004A5F44" w:rsidRPr="003F7CB9" w:rsidRDefault="001D6B4B" w:rsidP="006E5F5C">
            <w:pPr>
              <w:spacing w:before="0" w:after="0"/>
              <w:ind w:right="-52"/>
              <w:contextualSpacing/>
              <w:jc w:val="left"/>
              <w:rPr>
                <w:rFonts w:ascii="Calibri" w:hAnsi="Calibri"/>
                <w:color w:val="000000"/>
                <w:sz w:val="22"/>
                <w:szCs w:val="22"/>
                <w:highlight w:val="yellow"/>
              </w:rPr>
            </w:pPr>
            <w:r>
              <w:rPr>
                <w:rFonts w:ascii="Calibri" w:hAnsi="Calibri"/>
                <w:color w:val="000000"/>
                <w:sz w:val="22"/>
                <w:szCs w:val="22"/>
              </w:rPr>
              <w:t>No changes.</w:t>
            </w:r>
          </w:p>
        </w:tc>
        <w:tc>
          <w:tcPr>
            <w:tcW w:w="84" w:type="pct"/>
            <w:tcBorders>
              <w:top w:val="nil"/>
              <w:left w:val="nil"/>
              <w:bottom w:val="nil"/>
              <w:right w:val="nil"/>
            </w:tcBorders>
            <w:shd w:val="clear" w:color="auto" w:fill="auto"/>
            <w:noWrap/>
            <w:hideMark/>
          </w:tcPr>
          <w:p w14:paraId="1683356B"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2A51699" w14:textId="588C145A" w:rsidR="004A5F44"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James Torbert</w:t>
            </w:r>
          </w:p>
        </w:tc>
        <w:tc>
          <w:tcPr>
            <w:tcW w:w="84" w:type="pct"/>
            <w:tcBorders>
              <w:top w:val="nil"/>
              <w:left w:val="nil"/>
              <w:bottom w:val="nil"/>
              <w:right w:val="nil"/>
            </w:tcBorders>
            <w:shd w:val="clear" w:color="auto" w:fill="auto"/>
            <w:noWrap/>
            <w:hideMark/>
          </w:tcPr>
          <w:p w14:paraId="5260C56C"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58291E7" w14:textId="52AF2909" w:rsidR="004A5F44" w:rsidRPr="004A5F44" w:rsidRDefault="004A5F44" w:rsidP="006E5F5C">
            <w:pPr>
              <w:spacing w:before="0" w:after="0"/>
              <w:ind w:right="-52"/>
              <w:contextualSpacing/>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4178</w:t>
            </w:r>
          </w:p>
        </w:tc>
      </w:tr>
      <w:tr w:rsidR="008E0B7E" w:rsidRPr="004A5F44" w14:paraId="6DDCA800" w14:textId="77777777" w:rsidTr="00F678F7">
        <w:trPr>
          <w:gridAfter w:val="3"/>
          <w:wAfter w:w="1195" w:type="pct"/>
          <w:trHeight w:val="68"/>
        </w:trPr>
        <w:tc>
          <w:tcPr>
            <w:tcW w:w="352" w:type="pct"/>
            <w:gridSpan w:val="2"/>
            <w:tcBorders>
              <w:top w:val="nil"/>
              <w:left w:val="nil"/>
              <w:bottom w:val="nil"/>
              <w:right w:val="nil"/>
            </w:tcBorders>
            <w:shd w:val="clear" w:color="auto" w:fill="auto"/>
            <w:noWrap/>
            <w:hideMark/>
          </w:tcPr>
          <w:p w14:paraId="545176B5" w14:textId="77777777" w:rsidR="004A5F44" w:rsidRPr="004A5F44" w:rsidRDefault="004A5F44" w:rsidP="003576D1">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5443EFDE" w14:textId="77777777" w:rsidR="004A5F44" w:rsidRPr="004A5F44" w:rsidRDefault="004A5F44" w:rsidP="003576D1">
            <w:pPr>
              <w:spacing w:before="0" w:after="0"/>
              <w:ind w:right="-52"/>
              <w:jc w:val="left"/>
              <w:rPr>
                <w:rFonts w:ascii="Calibri" w:hAnsi="Calibri"/>
                <w:color w:val="000000"/>
                <w:sz w:val="22"/>
                <w:szCs w:val="22"/>
              </w:rPr>
            </w:pPr>
          </w:p>
        </w:tc>
        <w:tc>
          <w:tcPr>
            <w:tcW w:w="1819" w:type="pct"/>
            <w:gridSpan w:val="8"/>
            <w:vMerge/>
            <w:tcBorders>
              <w:top w:val="nil"/>
              <w:left w:val="nil"/>
              <w:bottom w:val="nil"/>
              <w:right w:val="nil"/>
            </w:tcBorders>
            <w:hideMark/>
          </w:tcPr>
          <w:p w14:paraId="4D5609FD" w14:textId="77777777" w:rsidR="004A5F44" w:rsidRPr="003F7CB9" w:rsidRDefault="004A5F44" w:rsidP="003576D1">
            <w:pPr>
              <w:spacing w:before="0" w:after="0"/>
              <w:ind w:right="-52"/>
              <w:jc w:val="left"/>
              <w:rPr>
                <w:rFonts w:ascii="Calibri" w:hAnsi="Calibri"/>
                <w:color w:val="000000"/>
                <w:sz w:val="22"/>
                <w:szCs w:val="22"/>
                <w:highlight w:val="yellow"/>
              </w:rPr>
            </w:pPr>
          </w:p>
        </w:tc>
        <w:tc>
          <w:tcPr>
            <w:tcW w:w="84" w:type="pct"/>
            <w:tcBorders>
              <w:top w:val="nil"/>
              <w:left w:val="nil"/>
              <w:bottom w:val="nil"/>
              <w:right w:val="nil"/>
            </w:tcBorders>
            <w:shd w:val="clear" w:color="auto" w:fill="auto"/>
            <w:noWrap/>
            <w:hideMark/>
          </w:tcPr>
          <w:p w14:paraId="78CA0FCA" w14:textId="77777777" w:rsidR="004A5F44" w:rsidRPr="004A5F44" w:rsidRDefault="004A5F44"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7ACCB343"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1A060D59" w14:textId="77777777" w:rsidR="004A5F44" w:rsidRPr="004A5F44" w:rsidRDefault="004A5F44"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753ADA7B" w14:textId="77777777" w:rsidR="004A5F44" w:rsidRPr="004A5F44" w:rsidRDefault="004A5F44" w:rsidP="003576D1">
            <w:pPr>
              <w:spacing w:before="0" w:after="0"/>
              <w:ind w:right="-52"/>
              <w:jc w:val="left"/>
              <w:rPr>
                <w:rFonts w:ascii="Calibri" w:hAnsi="Calibri"/>
                <w:color w:val="000000"/>
                <w:sz w:val="22"/>
                <w:szCs w:val="22"/>
              </w:rPr>
            </w:pPr>
          </w:p>
        </w:tc>
      </w:tr>
      <w:tr w:rsidR="008E0B7E" w:rsidRPr="004A5F44" w14:paraId="3523DBFB" w14:textId="77777777" w:rsidTr="00F678F7">
        <w:trPr>
          <w:gridAfter w:val="3"/>
          <w:wAfter w:w="1195" w:type="pct"/>
          <w:trHeight w:val="68"/>
        </w:trPr>
        <w:tc>
          <w:tcPr>
            <w:tcW w:w="352" w:type="pct"/>
            <w:gridSpan w:val="2"/>
            <w:tcBorders>
              <w:top w:val="nil"/>
              <w:left w:val="nil"/>
              <w:bottom w:val="nil"/>
              <w:right w:val="nil"/>
            </w:tcBorders>
            <w:shd w:val="clear" w:color="auto" w:fill="auto"/>
            <w:noWrap/>
            <w:hideMark/>
          </w:tcPr>
          <w:p w14:paraId="45260A00" w14:textId="77777777" w:rsidR="004A5F44" w:rsidRPr="004A5F44" w:rsidRDefault="004A5F44" w:rsidP="003576D1">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5F5A8188" w14:textId="77777777" w:rsidR="004A5F44" w:rsidRPr="004A5F44" w:rsidRDefault="004A5F44" w:rsidP="003576D1">
            <w:pPr>
              <w:spacing w:before="0" w:after="0"/>
              <w:ind w:right="-52"/>
              <w:jc w:val="left"/>
              <w:rPr>
                <w:rFonts w:ascii="Calibri" w:hAnsi="Calibri"/>
                <w:color w:val="000000"/>
                <w:sz w:val="22"/>
                <w:szCs w:val="22"/>
              </w:rPr>
            </w:pPr>
          </w:p>
        </w:tc>
        <w:tc>
          <w:tcPr>
            <w:tcW w:w="1819" w:type="pct"/>
            <w:gridSpan w:val="8"/>
            <w:vMerge/>
            <w:tcBorders>
              <w:top w:val="nil"/>
              <w:left w:val="nil"/>
              <w:bottom w:val="nil"/>
              <w:right w:val="nil"/>
            </w:tcBorders>
            <w:hideMark/>
          </w:tcPr>
          <w:p w14:paraId="2E282EF3" w14:textId="77777777" w:rsidR="004A5F44" w:rsidRPr="003F7CB9" w:rsidRDefault="004A5F44" w:rsidP="003576D1">
            <w:pPr>
              <w:spacing w:before="0" w:after="0"/>
              <w:ind w:right="-52"/>
              <w:jc w:val="left"/>
              <w:rPr>
                <w:rFonts w:ascii="Calibri" w:hAnsi="Calibri"/>
                <w:color w:val="000000"/>
                <w:sz w:val="22"/>
                <w:szCs w:val="22"/>
                <w:highlight w:val="yellow"/>
              </w:rPr>
            </w:pPr>
          </w:p>
        </w:tc>
        <w:tc>
          <w:tcPr>
            <w:tcW w:w="84" w:type="pct"/>
            <w:tcBorders>
              <w:top w:val="nil"/>
              <w:left w:val="nil"/>
              <w:bottom w:val="nil"/>
              <w:right w:val="nil"/>
            </w:tcBorders>
            <w:shd w:val="clear" w:color="auto" w:fill="auto"/>
            <w:noWrap/>
            <w:hideMark/>
          </w:tcPr>
          <w:p w14:paraId="569DF35F" w14:textId="77777777" w:rsidR="004A5F44" w:rsidRPr="004A5F44" w:rsidRDefault="004A5F44"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048E6E37" w14:textId="77777777" w:rsidR="004A5F44" w:rsidRPr="004A5F44" w:rsidRDefault="004A5F4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726DA44" w14:textId="77777777" w:rsidR="004A5F44" w:rsidRPr="004A5F44" w:rsidRDefault="004A5F44"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58905BF0" w14:textId="77777777" w:rsidR="004A5F44" w:rsidRPr="004A5F44" w:rsidRDefault="004A5F44" w:rsidP="003576D1">
            <w:pPr>
              <w:spacing w:before="0" w:after="0"/>
              <w:ind w:right="-52"/>
              <w:jc w:val="left"/>
              <w:rPr>
                <w:rFonts w:ascii="Calibri" w:hAnsi="Calibri"/>
                <w:color w:val="000000"/>
                <w:sz w:val="22"/>
                <w:szCs w:val="22"/>
              </w:rPr>
            </w:pPr>
          </w:p>
        </w:tc>
      </w:tr>
      <w:tr w:rsidR="0051274F" w:rsidRPr="004A5F44" w14:paraId="3D7D9A47"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11D6BE6D" w14:textId="77777777" w:rsidR="0051274F" w:rsidRPr="004A5F44" w:rsidRDefault="0051274F" w:rsidP="0051274F">
            <w:pPr>
              <w:spacing w:before="0" w:after="0"/>
              <w:ind w:right="-52"/>
              <w:jc w:val="left"/>
              <w:rPr>
                <w:rFonts w:ascii="Calibri" w:hAnsi="Calibri"/>
                <w:color w:val="000000"/>
                <w:sz w:val="22"/>
                <w:szCs w:val="22"/>
              </w:rPr>
            </w:pPr>
            <w:r w:rsidRPr="004A5F44">
              <w:rPr>
                <w:rFonts w:ascii="Calibri" w:hAnsi="Calibri"/>
                <w:color w:val="000000"/>
                <w:sz w:val="22"/>
                <w:szCs w:val="22"/>
              </w:rPr>
              <w:t>3.04</w:t>
            </w:r>
          </w:p>
        </w:tc>
        <w:tc>
          <w:tcPr>
            <w:tcW w:w="535" w:type="pct"/>
            <w:tcBorders>
              <w:top w:val="nil"/>
              <w:left w:val="nil"/>
              <w:bottom w:val="nil"/>
              <w:right w:val="nil"/>
            </w:tcBorders>
            <w:shd w:val="clear" w:color="auto" w:fill="auto"/>
            <w:noWrap/>
            <w:hideMark/>
          </w:tcPr>
          <w:p w14:paraId="76540C5F" w14:textId="77777777" w:rsidR="0051274F" w:rsidRPr="00A4195F" w:rsidRDefault="00AC7B75" w:rsidP="00AC7B75">
            <w:pPr>
              <w:spacing w:before="0" w:after="0"/>
              <w:ind w:right="-52"/>
              <w:jc w:val="left"/>
              <w:rPr>
                <w:rFonts w:ascii="Calibri" w:hAnsi="Calibri"/>
                <w:color w:val="000000"/>
                <w:sz w:val="22"/>
                <w:szCs w:val="22"/>
              </w:rPr>
            </w:pPr>
            <w:r w:rsidRPr="00A4195F">
              <w:rPr>
                <w:rFonts w:ascii="Calibri" w:hAnsi="Calibri"/>
                <w:color w:val="000000"/>
                <w:sz w:val="22"/>
                <w:szCs w:val="22"/>
              </w:rPr>
              <w:t xml:space="preserve">Other </w:t>
            </w:r>
            <w:r w:rsidR="0051274F" w:rsidRPr="00A4195F">
              <w:rPr>
                <w:rFonts w:ascii="Calibri" w:hAnsi="Calibri"/>
                <w:color w:val="000000"/>
                <w:sz w:val="22"/>
                <w:szCs w:val="22"/>
              </w:rPr>
              <w:t xml:space="preserve">Receivables </w:t>
            </w:r>
          </w:p>
        </w:tc>
        <w:tc>
          <w:tcPr>
            <w:tcW w:w="1819" w:type="pct"/>
            <w:gridSpan w:val="8"/>
            <w:tcBorders>
              <w:top w:val="nil"/>
              <w:left w:val="nil"/>
              <w:bottom w:val="nil"/>
              <w:right w:val="nil"/>
            </w:tcBorders>
            <w:shd w:val="clear" w:color="auto" w:fill="auto"/>
            <w:noWrap/>
            <w:hideMark/>
          </w:tcPr>
          <w:p w14:paraId="116BA23C" w14:textId="5BE5626F" w:rsidR="00BC1ED5" w:rsidRPr="00A4195F" w:rsidRDefault="00757CAD">
            <w:pPr>
              <w:spacing w:before="0"/>
              <w:ind w:right="-58"/>
              <w:jc w:val="left"/>
              <w:rPr>
                <w:rFonts w:ascii="Calibri" w:hAnsi="Calibri"/>
                <w:color w:val="000000"/>
                <w:sz w:val="22"/>
                <w:szCs w:val="22"/>
              </w:rPr>
            </w:pPr>
            <w:r w:rsidRPr="00A4195F">
              <w:rPr>
                <w:rFonts w:ascii="Calibri" w:hAnsi="Calibri"/>
                <w:color w:val="000000"/>
                <w:sz w:val="22"/>
                <w:szCs w:val="22"/>
              </w:rPr>
              <w:t>No changes.</w:t>
            </w:r>
          </w:p>
        </w:tc>
        <w:tc>
          <w:tcPr>
            <w:tcW w:w="84" w:type="pct"/>
            <w:tcBorders>
              <w:top w:val="nil"/>
              <w:left w:val="nil"/>
              <w:bottom w:val="nil"/>
              <w:right w:val="nil"/>
            </w:tcBorders>
            <w:shd w:val="clear" w:color="auto" w:fill="auto"/>
            <w:noWrap/>
            <w:hideMark/>
          </w:tcPr>
          <w:p w14:paraId="693B85E0" w14:textId="77777777" w:rsidR="0051274F" w:rsidRPr="00A4195F" w:rsidRDefault="0051274F" w:rsidP="0051274F">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2B8BD76A" w14:textId="26B07C4A" w:rsidR="0051274F" w:rsidRPr="00A4195F" w:rsidRDefault="00E221EA" w:rsidP="006E5F5C">
            <w:pPr>
              <w:spacing w:before="0" w:after="0"/>
              <w:ind w:right="-52"/>
              <w:contextualSpacing/>
              <w:jc w:val="left"/>
              <w:rPr>
                <w:rFonts w:ascii="Calibri" w:hAnsi="Calibri"/>
                <w:color w:val="000000"/>
                <w:sz w:val="22"/>
                <w:szCs w:val="22"/>
              </w:rPr>
            </w:pPr>
            <w:r w:rsidRPr="00A4195F">
              <w:rPr>
                <w:rFonts w:ascii="Calibri" w:hAnsi="Calibri"/>
                <w:color w:val="000000"/>
                <w:sz w:val="22"/>
                <w:szCs w:val="22"/>
              </w:rPr>
              <w:t>Linda McCarty</w:t>
            </w:r>
          </w:p>
        </w:tc>
        <w:tc>
          <w:tcPr>
            <w:tcW w:w="84" w:type="pct"/>
            <w:tcBorders>
              <w:top w:val="nil"/>
              <w:left w:val="nil"/>
              <w:bottom w:val="nil"/>
              <w:right w:val="nil"/>
            </w:tcBorders>
            <w:shd w:val="clear" w:color="auto" w:fill="auto"/>
            <w:noWrap/>
            <w:hideMark/>
          </w:tcPr>
          <w:p w14:paraId="2ED3CCB5" w14:textId="77777777" w:rsidR="0051274F" w:rsidRPr="004A5F44" w:rsidRDefault="0051274F" w:rsidP="0051274F">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E61155F" w14:textId="0E9E33E6" w:rsidR="0051274F" w:rsidRPr="004A5F44" w:rsidRDefault="004E14F7" w:rsidP="00FB4B1E">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E221EA">
              <w:rPr>
                <w:rFonts w:ascii="Calibri" w:hAnsi="Calibri"/>
                <w:color w:val="000000"/>
                <w:sz w:val="22"/>
                <w:szCs w:val="22"/>
              </w:rPr>
              <w:t>5164</w:t>
            </w:r>
          </w:p>
        </w:tc>
      </w:tr>
      <w:tr w:rsidR="0051274F" w:rsidRPr="004A5F44" w14:paraId="0DD6DF2E"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16947B8C" w14:textId="77777777" w:rsidR="0051274F" w:rsidRPr="004A5F44" w:rsidRDefault="0051274F" w:rsidP="0051274F">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595476F6" w14:textId="77777777" w:rsidR="0051274F" w:rsidRPr="00A4195F" w:rsidRDefault="0051274F" w:rsidP="0051274F">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hideMark/>
          </w:tcPr>
          <w:p w14:paraId="186491B0" w14:textId="77777777" w:rsidR="0051274F" w:rsidRPr="00A4195F" w:rsidRDefault="0051274F" w:rsidP="0051274F">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hideMark/>
          </w:tcPr>
          <w:p w14:paraId="6535CA01" w14:textId="77777777" w:rsidR="0051274F" w:rsidRPr="00A4195F" w:rsidRDefault="0051274F" w:rsidP="0051274F">
            <w:pPr>
              <w:spacing w:before="0" w:after="0"/>
              <w:ind w:right="-52"/>
              <w:jc w:val="left"/>
              <w:rPr>
                <w:rFonts w:ascii="Calibri" w:hAnsi="Calibri"/>
                <w:color w:val="000000"/>
                <w:sz w:val="22"/>
                <w:szCs w:val="22"/>
              </w:rPr>
            </w:pPr>
          </w:p>
        </w:tc>
        <w:tc>
          <w:tcPr>
            <w:tcW w:w="337" w:type="pct"/>
            <w:tcBorders>
              <w:top w:val="nil"/>
              <w:left w:val="nil"/>
              <w:bottom w:val="nil"/>
              <w:right w:val="nil"/>
            </w:tcBorders>
            <w:shd w:val="clear" w:color="auto" w:fill="auto"/>
            <w:noWrap/>
            <w:hideMark/>
          </w:tcPr>
          <w:p w14:paraId="5B9363A0" w14:textId="77777777" w:rsidR="0051274F" w:rsidRPr="00A4195F" w:rsidRDefault="0051274F" w:rsidP="0051274F">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4061D41B" w14:textId="77777777" w:rsidR="0051274F" w:rsidRPr="00A4195F" w:rsidRDefault="0051274F" w:rsidP="0051274F">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0412E7A1" w14:textId="77777777" w:rsidR="0051274F" w:rsidRPr="00A4195F" w:rsidRDefault="0051274F" w:rsidP="0051274F">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644CBA77" w14:textId="77777777" w:rsidR="0051274F" w:rsidRPr="00A4195F" w:rsidRDefault="0051274F" w:rsidP="0051274F">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E9A6329" w14:textId="77777777" w:rsidR="0051274F" w:rsidRPr="00A4195F" w:rsidRDefault="0051274F" w:rsidP="0051274F">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33DB065E" w14:textId="77777777" w:rsidR="0051274F" w:rsidRPr="00A4195F" w:rsidRDefault="0051274F"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4902255" w14:textId="77777777" w:rsidR="0051274F" w:rsidRPr="004A5F44" w:rsidRDefault="0051274F" w:rsidP="0051274F">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5881FD14" w14:textId="77777777" w:rsidR="0051274F" w:rsidRPr="004A5F44" w:rsidRDefault="0051274F" w:rsidP="0051274F">
            <w:pPr>
              <w:spacing w:before="0" w:after="0"/>
              <w:ind w:right="-52"/>
              <w:jc w:val="left"/>
              <w:rPr>
                <w:rFonts w:ascii="Calibri" w:hAnsi="Calibri"/>
                <w:color w:val="000000"/>
                <w:sz w:val="22"/>
                <w:szCs w:val="22"/>
              </w:rPr>
            </w:pPr>
          </w:p>
        </w:tc>
      </w:tr>
      <w:tr w:rsidR="00570D9A" w:rsidRPr="004A5F44" w14:paraId="3AC60C52"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073CA54E" w14:textId="77777777" w:rsidR="00570D9A" w:rsidRPr="004A5F44" w:rsidRDefault="00570D9A" w:rsidP="0051274F">
            <w:pPr>
              <w:spacing w:before="0" w:after="0"/>
              <w:ind w:right="-52"/>
              <w:jc w:val="left"/>
              <w:rPr>
                <w:rFonts w:ascii="Calibri" w:hAnsi="Calibri"/>
                <w:color w:val="000000"/>
                <w:sz w:val="22"/>
                <w:szCs w:val="22"/>
              </w:rPr>
            </w:pPr>
            <w:r w:rsidRPr="004A5F44">
              <w:rPr>
                <w:rFonts w:ascii="Calibri" w:hAnsi="Calibri"/>
                <w:color w:val="000000"/>
                <w:sz w:val="22"/>
                <w:szCs w:val="22"/>
              </w:rPr>
              <w:t>3.05</w:t>
            </w:r>
          </w:p>
        </w:tc>
        <w:tc>
          <w:tcPr>
            <w:tcW w:w="535" w:type="pct"/>
            <w:tcBorders>
              <w:top w:val="nil"/>
              <w:left w:val="nil"/>
              <w:bottom w:val="nil"/>
              <w:right w:val="nil"/>
            </w:tcBorders>
            <w:shd w:val="clear" w:color="auto" w:fill="auto"/>
            <w:noWrap/>
            <w:hideMark/>
          </w:tcPr>
          <w:p w14:paraId="3C9E60A7" w14:textId="77777777" w:rsidR="00570D9A" w:rsidRPr="004A5F44" w:rsidRDefault="0005132F" w:rsidP="00AC7B75">
            <w:pPr>
              <w:spacing w:before="0" w:after="0"/>
              <w:ind w:right="-52"/>
              <w:jc w:val="left"/>
              <w:rPr>
                <w:rFonts w:ascii="Calibri" w:hAnsi="Calibri"/>
                <w:color w:val="000000"/>
                <w:sz w:val="22"/>
                <w:szCs w:val="22"/>
              </w:rPr>
            </w:pPr>
            <w:r>
              <w:rPr>
                <w:rFonts w:ascii="Calibri" w:hAnsi="Calibri"/>
                <w:color w:val="000000"/>
                <w:sz w:val="22"/>
                <w:szCs w:val="22"/>
              </w:rPr>
              <w:t>Unearned</w:t>
            </w:r>
            <w:r w:rsidR="00570D9A" w:rsidRPr="004A5F44">
              <w:rPr>
                <w:rFonts w:ascii="Calibri" w:hAnsi="Calibri"/>
                <w:color w:val="000000"/>
                <w:sz w:val="22"/>
                <w:szCs w:val="22"/>
              </w:rPr>
              <w:t xml:space="preserve"> Revenue </w:t>
            </w:r>
          </w:p>
        </w:tc>
        <w:tc>
          <w:tcPr>
            <w:tcW w:w="1718" w:type="pct"/>
            <w:gridSpan w:val="7"/>
            <w:tcBorders>
              <w:top w:val="nil"/>
              <w:left w:val="nil"/>
              <w:bottom w:val="nil"/>
              <w:right w:val="nil"/>
            </w:tcBorders>
            <w:shd w:val="clear" w:color="auto" w:fill="auto"/>
            <w:noWrap/>
            <w:hideMark/>
          </w:tcPr>
          <w:p w14:paraId="22EEACCE" w14:textId="0D59E3CF" w:rsidR="00570D9A" w:rsidRPr="004A5F44" w:rsidRDefault="000B0350" w:rsidP="0051274F">
            <w:pPr>
              <w:spacing w:before="0" w:after="0"/>
              <w:ind w:right="-52"/>
              <w:jc w:val="left"/>
              <w:rPr>
                <w:rFonts w:ascii="Calibri" w:hAnsi="Calibri"/>
                <w:color w:val="000000"/>
                <w:sz w:val="22"/>
                <w:szCs w:val="22"/>
              </w:rPr>
            </w:pPr>
            <w:r>
              <w:rPr>
                <w:rFonts w:ascii="Calibri" w:hAnsi="Calibri"/>
                <w:color w:val="000000"/>
                <w:sz w:val="22"/>
                <w:szCs w:val="22"/>
              </w:rPr>
              <w:t>Must be completed in Workiva.</w:t>
            </w:r>
          </w:p>
        </w:tc>
        <w:tc>
          <w:tcPr>
            <w:tcW w:w="101" w:type="pct"/>
            <w:tcBorders>
              <w:top w:val="nil"/>
              <w:left w:val="nil"/>
              <w:bottom w:val="nil"/>
              <w:right w:val="nil"/>
            </w:tcBorders>
            <w:shd w:val="clear" w:color="auto" w:fill="auto"/>
            <w:noWrap/>
            <w:hideMark/>
          </w:tcPr>
          <w:p w14:paraId="39680EE9" w14:textId="77777777" w:rsidR="00570D9A" w:rsidRPr="004A5F44" w:rsidRDefault="00570D9A" w:rsidP="0051274F">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810E3B3" w14:textId="77777777" w:rsidR="00570D9A" w:rsidRPr="004A5F44" w:rsidRDefault="00570D9A" w:rsidP="0051274F">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6AFC28CF" w14:textId="6B1F4129" w:rsidR="00570D9A"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Layla Ballard-Sholly</w:t>
            </w:r>
          </w:p>
        </w:tc>
        <w:tc>
          <w:tcPr>
            <w:tcW w:w="84" w:type="pct"/>
            <w:tcBorders>
              <w:top w:val="nil"/>
              <w:left w:val="nil"/>
              <w:bottom w:val="nil"/>
              <w:right w:val="nil"/>
            </w:tcBorders>
            <w:shd w:val="clear" w:color="auto" w:fill="auto"/>
            <w:noWrap/>
            <w:hideMark/>
          </w:tcPr>
          <w:p w14:paraId="66B684C8" w14:textId="77777777" w:rsidR="00570D9A" w:rsidRPr="004A5F44" w:rsidRDefault="00570D9A" w:rsidP="00AC7B75">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310E8F7" w14:textId="0D8F4E88" w:rsidR="00570D9A" w:rsidRPr="004A5F44" w:rsidRDefault="004E14F7" w:rsidP="00FB4B1E">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0272</w:t>
            </w:r>
          </w:p>
        </w:tc>
      </w:tr>
      <w:tr w:rsidR="00AC7B75" w:rsidRPr="004A5F44" w14:paraId="7A7A57BB"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5AD36F4B" w14:textId="77777777" w:rsidR="00AC7B75" w:rsidRPr="004A5F44" w:rsidRDefault="00AC7B75" w:rsidP="0051274F">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7C61885A" w14:textId="77777777" w:rsidR="00AC7B75" w:rsidRPr="004A5F44" w:rsidRDefault="00AC7B75" w:rsidP="0051274F">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hideMark/>
          </w:tcPr>
          <w:p w14:paraId="44B8EB6B" w14:textId="77777777" w:rsidR="00AC7B75" w:rsidRPr="004A5F44" w:rsidRDefault="00AC7B75" w:rsidP="0051274F">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hideMark/>
          </w:tcPr>
          <w:p w14:paraId="052C3221" w14:textId="77777777" w:rsidR="00AC7B75" w:rsidRPr="004A5F44" w:rsidRDefault="00AC7B75" w:rsidP="0051274F">
            <w:pPr>
              <w:spacing w:before="0" w:after="0"/>
              <w:ind w:right="-52"/>
              <w:jc w:val="left"/>
              <w:rPr>
                <w:rFonts w:ascii="Calibri" w:hAnsi="Calibri"/>
                <w:color w:val="000000"/>
                <w:sz w:val="22"/>
                <w:szCs w:val="22"/>
              </w:rPr>
            </w:pPr>
          </w:p>
        </w:tc>
        <w:tc>
          <w:tcPr>
            <w:tcW w:w="337" w:type="pct"/>
            <w:tcBorders>
              <w:top w:val="nil"/>
              <w:left w:val="nil"/>
              <w:bottom w:val="nil"/>
              <w:right w:val="nil"/>
            </w:tcBorders>
            <w:shd w:val="clear" w:color="auto" w:fill="auto"/>
            <w:noWrap/>
            <w:hideMark/>
          </w:tcPr>
          <w:p w14:paraId="0B8BCFB1" w14:textId="77777777" w:rsidR="00AC7B75" w:rsidRPr="004A5F44" w:rsidRDefault="00AC7B75" w:rsidP="0051274F">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0DAB7985" w14:textId="77777777" w:rsidR="00AC7B75" w:rsidRPr="004A5F44" w:rsidRDefault="00AC7B75" w:rsidP="0051274F">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066189FC" w14:textId="77777777" w:rsidR="00AC7B75" w:rsidRPr="004A5F44" w:rsidRDefault="00AC7B75" w:rsidP="0051274F">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66F73188" w14:textId="77777777" w:rsidR="00AC7B75" w:rsidRPr="004A5F44" w:rsidRDefault="00AC7B75" w:rsidP="0051274F">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343415F5" w14:textId="77777777" w:rsidR="00AC7B75" w:rsidRPr="004A5F44" w:rsidRDefault="00AC7B75" w:rsidP="0051274F">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D3B32E4" w14:textId="77777777" w:rsidR="00AC7B75" w:rsidRPr="004A5F44" w:rsidRDefault="00AC7B75"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31C3B54" w14:textId="77777777" w:rsidR="00AC7B75" w:rsidRPr="004A5F44" w:rsidRDefault="00AC7B75" w:rsidP="0051274F">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D1CF1F0" w14:textId="77777777" w:rsidR="00AC7B75" w:rsidRPr="004A5F44" w:rsidRDefault="00AC7B75" w:rsidP="0051274F">
            <w:pPr>
              <w:spacing w:before="0" w:after="0"/>
              <w:ind w:right="-52"/>
              <w:jc w:val="left"/>
              <w:rPr>
                <w:rFonts w:ascii="Calibri" w:hAnsi="Calibri"/>
                <w:color w:val="000000"/>
                <w:sz w:val="22"/>
                <w:szCs w:val="22"/>
              </w:rPr>
            </w:pPr>
          </w:p>
        </w:tc>
      </w:tr>
      <w:tr w:rsidR="00AC7B75" w:rsidRPr="004A5F44" w14:paraId="1F416AA4" w14:textId="77777777" w:rsidTr="00F678F7">
        <w:trPr>
          <w:gridAfter w:val="3"/>
          <w:wAfter w:w="1195" w:type="pct"/>
          <w:trHeight w:val="645"/>
        </w:trPr>
        <w:tc>
          <w:tcPr>
            <w:tcW w:w="352" w:type="pct"/>
            <w:gridSpan w:val="2"/>
            <w:tcBorders>
              <w:top w:val="nil"/>
              <w:left w:val="nil"/>
              <w:bottom w:val="nil"/>
              <w:right w:val="nil"/>
            </w:tcBorders>
            <w:shd w:val="clear" w:color="auto" w:fill="auto"/>
            <w:noWrap/>
            <w:hideMark/>
          </w:tcPr>
          <w:p w14:paraId="42848F14" w14:textId="77777777" w:rsidR="00AC7B75" w:rsidRPr="004A5F44" w:rsidRDefault="00AC7B75" w:rsidP="0051274F">
            <w:pPr>
              <w:spacing w:before="0" w:after="0"/>
              <w:ind w:right="-52"/>
              <w:jc w:val="left"/>
              <w:rPr>
                <w:rFonts w:ascii="Calibri" w:hAnsi="Calibri"/>
                <w:color w:val="000000"/>
                <w:sz w:val="22"/>
                <w:szCs w:val="22"/>
              </w:rPr>
            </w:pPr>
            <w:r w:rsidRPr="004A5F44">
              <w:rPr>
                <w:rFonts w:ascii="Calibri" w:hAnsi="Calibri"/>
                <w:color w:val="000000"/>
                <w:sz w:val="22"/>
                <w:szCs w:val="22"/>
              </w:rPr>
              <w:t>3.06</w:t>
            </w:r>
          </w:p>
        </w:tc>
        <w:tc>
          <w:tcPr>
            <w:tcW w:w="535" w:type="pct"/>
            <w:tcBorders>
              <w:top w:val="nil"/>
              <w:left w:val="nil"/>
              <w:bottom w:val="nil"/>
              <w:right w:val="nil"/>
            </w:tcBorders>
            <w:shd w:val="clear" w:color="auto" w:fill="auto"/>
            <w:noWrap/>
            <w:hideMark/>
          </w:tcPr>
          <w:p w14:paraId="7271CCB4" w14:textId="77777777" w:rsidR="00AC7B75" w:rsidRPr="004A5F44" w:rsidRDefault="00AC7B75" w:rsidP="0051274F">
            <w:pPr>
              <w:spacing w:before="0" w:after="0"/>
              <w:ind w:right="-52"/>
              <w:jc w:val="left"/>
              <w:rPr>
                <w:rFonts w:ascii="Calibri" w:hAnsi="Calibri"/>
                <w:color w:val="000000"/>
                <w:sz w:val="22"/>
                <w:szCs w:val="22"/>
              </w:rPr>
            </w:pPr>
            <w:r w:rsidRPr="004A5F44">
              <w:rPr>
                <w:rFonts w:ascii="Calibri" w:hAnsi="Calibri"/>
                <w:color w:val="000000"/>
                <w:sz w:val="22"/>
                <w:szCs w:val="22"/>
              </w:rPr>
              <w:t>Inventory</w:t>
            </w:r>
          </w:p>
        </w:tc>
        <w:tc>
          <w:tcPr>
            <w:tcW w:w="1819" w:type="pct"/>
            <w:gridSpan w:val="8"/>
            <w:tcBorders>
              <w:top w:val="nil"/>
              <w:left w:val="nil"/>
              <w:bottom w:val="nil"/>
              <w:right w:val="nil"/>
            </w:tcBorders>
            <w:shd w:val="clear" w:color="auto" w:fill="auto"/>
          </w:tcPr>
          <w:p w14:paraId="12C6F873" w14:textId="2E76FB05" w:rsidR="00AC7B75" w:rsidRPr="003F7CB9" w:rsidRDefault="000B0350" w:rsidP="0051274F">
            <w:pPr>
              <w:spacing w:before="0" w:after="0"/>
              <w:ind w:right="-52"/>
              <w:jc w:val="left"/>
              <w:rPr>
                <w:rFonts w:ascii="Calibri" w:hAnsi="Calibri"/>
                <w:color w:val="000000"/>
                <w:sz w:val="22"/>
                <w:szCs w:val="22"/>
                <w:highlight w:val="yellow"/>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76360C58" w14:textId="77777777" w:rsidR="00AC7B75" w:rsidRPr="004A5F44" w:rsidRDefault="00AC7B75" w:rsidP="0051274F">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1284917E" w14:textId="48E437E1" w:rsidR="00AC7B75" w:rsidRPr="004A5F44" w:rsidRDefault="00E221EA" w:rsidP="006E5F5C">
            <w:pPr>
              <w:spacing w:before="0" w:after="0"/>
              <w:ind w:right="-52"/>
              <w:contextualSpacing/>
              <w:jc w:val="left"/>
              <w:rPr>
                <w:rFonts w:ascii="Calibri" w:hAnsi="Calibri"/>
                <w:color w:val="000000"/>
                <w:sz w:val="22"/>
                <w:szCs w:val="22"/>
              </w:rPr>
            </w:pPr>
            <w:r>
              <w:rPr>
                <w:rFonts w:ascii="Calibri" w:hAnsi="Calibri"/>
                <w:color w:val="000000"/>
                <w:sz w:val="22"/>
                <w:szCs w:val="22"/>
              </w:rPr>
              <w:t>James Torbert</w:t>
            </w:r>
          </w:p>
        </w:tc>
        <w:tc>
          <w:tcPr>
            <w:tcW w:w="84" w:type="pct"/>
            <w:tcBorders>
              <w:top w:val="nil"/>
              <w:left w:val="nil"/>
              <w:bottom w:val="nil"/>
              <w:right w:val="nil"/>
            </w:tcBorders>
            <w:shd w:val="clear" w:color="auto" w:fill="auto"/>
            <w:noWrap/>
            <w:hideMark/>
          </w:tcPr>
          <w:p w14:paraId="02CE5CA1" w14:textId="77777777" w:rsidR="00AC7B75" w:rsidRPr="004A5F44" w:rsidRDefault="00AC7B75" w:rsidP="0051274F">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41C43566" w14:textId="6BD201AF" w:rsidR="00AC7B75" w:rsidRPr="004A5F44" w:rsidRDefault="004E14F7" w:rsidP="00FB4B1E">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E221EA">
              <w:rPr>
                <w:rFonts w:ascii="Calibri" w:hAnsi="Calibri"/>
                <w:color w:val="000000"/>
                <w:sz w:val="22"/>
                <w:szCs w:val="22"/>
              </w:rPr>
              <w:t>4178</w:t>
            </w:r>
          </w:p>
        </w:tc>
      </w:tr>
      <w:tr w:rsidR="00AC7B75" w:rsidRPr="004A5F44" w14:paraId="59717BEB"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2BA4E53A" w14:textId="77777777" w:rsidR="00AC7B75" w:rsidRPr="004A5F44" w:rsidRDefault="00AC7B75" w:rsidP="0051274F">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6FFABF21" w14:textId="77777777" w:rsidR="00AC7B75" w:rsidRPr="004A5F44" w:rsidRDefault="00AC7B75" w:rsidP="0051274F">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tcPr>
          <w:p w14:paraId="018345C2" w14:textId="77777777" w:rsidR="00AC7B75" w:rsidRPr="003F7CB9" w:rsidRDefault="00AC7B75" w:rsidP="0051274F">
            <w:pPr>
              <w:spacing w:before="0" w:after="0"/>
              <w:ind w:right="-52"/>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noWrap/>
          </w:tcPr>
          <w:p w14:paraId="2417E531" w14:textId="77777777" w:rsidR="00AC7B75" w:rsidRPr="003F7CB9" w:rsidRDefault="00AC7B75" w:rsidP="0051274F">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tcPr>
          <w:p w14:paraId="43C047BE" w14:textId="77777777" w:rsidR="00AC7B75" w:rsidRPr="003F7CB9" w:rsidRDefault="00AC7B75" w:rsidP="0051274F">
            <w:pPr>
              <w:spacing w:before="0" w:after="0"/>
              <w:ind w:right="-52"/>
              <w:jc w:val="left"/>
              <w:rPr>
                <w:rFonts w:ascii="Calibri" w:hAnsi="Calibri"/>
                <w:color w:val="000000"/>
                <w:sz w:val="22"/>
                <w:szCs w:val="22"/>
                <w:highlight w:val="yellow"/>
              </w:rPr>
            </w:pPr>
          </w:p>
        </w:tc>
        <w:tc>
          <w:tcPr>
            <w:tcW w:w="314" w:type="pct"/>
            <w:gridSpan w:val="2"/>
            <w:tcBorders>
              <w:top w:val="nil"/>
              <w:left w:val="nil"/>
              <w:bottom w:val="nil"/>
              <w:right w:val="nil"/>
            </w:tcBorders>
            <w:shd w:val="clear" w:color="auto" w:fill="auto"/>
            <w:noWrap/>
          </w:tcPr>
          <w:p w14:paraId="428D192E" w14:textId="77777777" w:rsidR="00AC7B75" w:rsidRPr="003F7CB9" w:rsidRDefault="00AC7B75" w:rsidP="0051274F">
            <w:pPr>
              <w:spacing w:before="0" w:after="0"/>
              <w:ind w:right="-52"/>
              <w:jc w:val="left"/>
              <w:rPr>
                <w:rFonts w:ascii="Calibri" w:hAnsi="Calibri"/>
                <w:color w:val="000000"/>
                <w:sz w:val="22"/>
                <w:szCs w:val="22"/>
                <w:highlight w:val="yellow"/>
              </w:rPr>
            </w:pPr>
          </w:p>
        </w:tc>
        <w:tc>
          <w:tcPr>
            <w:tcW w:w="293" w:type="pct"/>
            <w:gridSpan w:val="2"/>
            <w:tcBorders>
              <w:top w:val="nil"/>
              <w:left w:val="nil"/>
              <w:bottom w:val="nil"/>
              <w:right w:val="nil"/>
            </w:tcBorders>
            <w:shd w:val="clear" w:color="auto" w:fill="auto"/>
            <w:noWrap/>
          </w:tcPr>
          <w:p w14:paraId="3A0BD114" w14:textId="77777777" w:rsidR="00AC7B75" w:rsidRPr="003F7CB9" w:rsidRDefault="00AC7B75" w:rsidP="0051274F">
            <w:pPr>
              <w:spacing w:before="0" w:after="0"/>
              <w:ind w:right="-52"/>
              <w:jc w:val="left"/>
              <w:rPr>
                <w:rFonts w:ascii="Calibri" w:hAnsi="Calibri"/>
                <w:color w:val="000000"/>
                <w:sz w:val="22"/>
                <w:szCs w:val="22"/>
                <w:highlight w:val="yellow"/>
              </w:rPr>
            </w:pPr>
          </w:p>
        </w:tc>
        <w:tc>
          <w:tcPr>
            <w:tcW w:w="101" w:type="pct"/>
            <w:tcBorders>
              <w:top w:val="nil"/>
              <w:left w:val="nil"/>
              <w:bottom w:val="nil"/>
              <w:right w:val="nil"/>
            </w:tcBorders>
            <w:shd w:val="clear" w:color="auto" w:fill="auto"/>
            <w:noWrap/>
          </w:tcPr>
          <w:p w14:paraId="7260BE29" w14:textId="77777777" w:rsidR="00AC7B75" w:rsidRPr="003F7CB9" w:rsidRDefault="00AC7B75" w:rsidP="0051274F">
            <w:pPr>
              <w:spacing w:before="0" w:after="0"/>
              <w:ind w:right="-52"/>
              <w:jc w:val="left"/>
              <w:rPr>
                <w:rFonts w:ascii="Calibri" w:hAnsi="Calibri"/>
                <w:color w:val="000000"/>
                <w:sz w:val="22"/>
                <w:szCs w:val="22"/>
                <w:highlight w:val="yellow"/>
              </w:rPr>
            </w:pPr>
          </w:p>
        </w:tc>
        <w:tc>
          <w:tcPr>
            <w:tcW w:w="84" w:type="pct"/>
            <w:tcBorders>
              <w:top w:val="nil"/>
              <w:left w:val="nil"/>
              <w:bottom w:val="nil"/>
              <w:right w:val="nil"/>
            </w:tcBorders>
            <w:shd w:val="clear" w:color="auto" w:fill="auto"/>
            <w:noWrap/>
            <w:hideMark/>
          </w:tcPr>
          <w:p w14:paraId="046C1931" w14:textId="77777777" w:rsidR="00AC7B75" w:rsidRPr="004A5F44" w:rsidRDefault="00AC7B75" w:rsidP="0051274F">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20F2EAA" w14:textId="77777777" w:rsidR="00AC7B75" w:rsidRPr="004A5F44" w:rsidRDefault="00AC7B75"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5B7DFCA2" w14:textId="77777777" w:rsidR="00AC7B75" w:rsidRPr="004A5F44" w:rsidRDefault="00AC7B75" w:rsidP="0051274F">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B51BAA1" w14:textId="77777777" w:rsidR="00AC7B75" w:rsidRPr="004A5F44" w:rsidRDefault="00AC7B75" w:rsidP="0051274F">
            <w:pPr>
              <w:spacing w:before="0" w:after="0"/>
              <w:ind w:right="-52"/>
              <w:jc w:val="left"/>
              <w:rPr>
                <w:rFonts w:ascii="Calibri" w:hAnsi="Calibri"/>
                <w:color w:val="000000"/>
                <w:sz w:val="22"/>
                <w:szCs w:val="22"/>
              </w:rPr>
            </w:pPr>
          </w:p>
        </w:tc>
      </w:tr>
      <w:tr w:rsidR="0092248A" w:rsidRPr="004A5F44" w14:paraId="2B62D558" w14:textId="77777777" w:rsidTr="00F678F7">
        <w:trPr>
          <w:gridAfter w:val="3"/>
          <w:wAfter w:w="1195" w:type="pct"/>
          <w:trHeight w:val="630"/>
        </w:trPr>
        <w:tc>
          <w:tcPr>
            <w:tcW w:w="352" w:type="pct"/>
            <w:gridSpan w:val="2"/>
            <w:tcBorders>
              <w:top w:val="nil"/>
              <w:left w:val="nil"/>
              <w:bottom w:val="nil"/>
              <w:right w:val="nil"/>
            </w:tcBorders>
            <w:shd w:val="clear" w:color="auto" w:fill="auto"/>
            <w:noWrap/>
            <w:hideMark/>
          </w:tcPr>
          <w:p w14:paraId="71ABC082" w14:textId="77777777"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3.07</w:t>
            </w:r>
          </w:p>
        </w:tc>
        <w:tc>
          <w:tcPr>
            <w:tcW w:w="535" w:type="pct"/>
            <w:tcBorders>
              <w:top w:val="nil"/>
              <w:left w:val="nil"/>
              <w:bottom w:val="nil"/>
              <w:right w:val="nil"/>
            </w:tcBorders>
            <w:shd w:val="clear" w:color="auto" w:fill="auto"/>
            <w:noWrap/>
            <w:hideMark/>
          </w:tcPr>
          <w:p w14:paraId="650528C5" w14:textId="77777777"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Prepaid Expense</w:t>
            </w:r>
          </w:p>
        </w:tc>
        <w:tc>
          <w:tcPr>
            <w:tcW w:w="1819" w:type="pct"/>
            <w:gridSpan w:val="8"/>
            <w:tcBorders>
              <w:top w:val="nil"/>
              <w:left w:val="nil"/>
              <w:bottom w:val="nil"/>
              <w:right w:val="nil"/>
            </w:tcBorders>
            <w:shd w:val="clear" w:color="auto" w:fill="auto"/>
          </w:tcPr>
          <w:p w14:paraId="11F9FCFD" w14:textId="077BD544" w:rsidR="0092248A" w:rsidRPr="00CF4598" w:rsidRDefault="000B0350" w:rsidP="0092248A">
            <w:pPr>
              <w:spacing w:before="0"/>
              <w:ind w:right="-58"/>
              <w:jc w:val="left"/>
              <w:rPr>
                <w:rFonts w:ascii="Calibri" w:hAnsi="Calibri"/>
                <w:color w:val="000000"/>
                <w:sz w:val="22"/>
                <w:szCs w:val="22"/>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3E6B2D35" w14:textId="77777777" w:rsidR="0092248A" w:rsidRPr="004A5F44" w:rsidRDefault="0092248A" w:rsidP="0092248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30B2260B" w14:textId="7D0F3597" w:rsidR="0092248A" w:rsidRPr="004A5F44" w:rsidRDefault="00A4195F" w:rsidP="006E5F5C">
            <w:pPr>
              <w:spacing w:before="0" w:after="0"/>
              <w:ind w:right="-52"/>
              <w:contextualSpacing/>
              <w:jc w:val="left"/>
              <w:rPr>
                <w:rFonts w:ascii="Calibri" w:hAnsi="Calibri"/>
                <w:color w:val="000000"/>
                <w:sz w:val="22"/>
                <w:szCs w:val="22"/>
              </w:rPr>
            </w:pPr>
            <w:r>
              <w:rPr>
                <w:rFonts w:ascii="Calibri" w:hAnsi="Calibri"/>
                <w:color w:val="000000"/>
                <w:sz w:val="22"/>
                <w:szCs w:val="22"/>
              </w:rPr>
              <w:t>Layla Ballard-Sholly</w:t>
            </w:r>
          </w:p>
        </w:tc>
        <w:tc>
          <w:tcPr>
            <w:tcW w:w="84" w:type="pct"/>
            <w:tcBorders>
              <w:top w:val="nil"/>
              <w:left w:val="nil"/>
              <w:bottom w:val="nil"/>
              <w:right w:val="nil"/>
            </w:tcBorders>
            <w:shd w:val="clear" w:color="auto" w:fill="auto"/>
            <w:noWrap/>
            <w:hideMark/>
          </w:tcPr>
          <w:p w14:paraId="3D6A3B07" w14:textId="77777777" w:rsidR="0092248A" w:rsidRPr="004A5F44" w:rsidRDefault="0092248A" w:rsidP="0092248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2F675CE0" w14:textId="1F9E39EB" w:rsidR="0092248A" w:rsidRPr="004A5F44" w:rsidRDefault="00AC4764" w:rsidP="0092248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A4195F">
              <w:rPr>
                <w:rFonts w:ascii="Calibri" w:hAnsi="Calibri"/>
                <w:color w:val="000000"/>
                <w:sz w:val="22"/>
                <w:szCs w:val="22"/>
              </w:rPr>
              <w:t>0272</w:t>
            </w:r>
          </w:p>
        </w:tc>
      </w:tr>
      <w:tr w:rsidR="00AC7B75" w:rsidRPr="004A5F44" w14:paraId="74501ACB" w14:textId="77777777" w:rsidTr="004E156C">
        <w:trPr>
          <w:gridAfter w:val="3"/>
          <w:wAfter w:w="1195" w:type="pct"/>
          <w:trHeight w:val="300"/>
        </w:trPr>
        <w:tc>
          <w:tcPr>
            <w:tcW w:w="352" w:type="pct"/>
            <w:gridSpan w:val="2"/>
            <w:tcBorders>
              <w:top w:val="nil"/>
              <w:left w:val="nil"/>
              <w:bottom w:val="nil"/>
              <w:right w:val="nil"/>
            </w:tcBorders>
            <w:shd w:val="clear" w:color="auto" w:fill="auto"/>
            <w:noWrap/>
          </w:tcPr>
          <w:p w14:paraId="099F4DE4" w14:textId="77777777" w:rsidR="00AC7B75" w:rsidRPr="004A5F44" w:rsidRDefault="00AC7B75" w:rsidP="003576D1">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tcPr>
          <w:p w14:paraId="3F7BCACB" w14:textId="77777777" w:rsidR="00AC7B75" w:rsidRPr="004A5F44" w:rsidRDefault="00AC7B75" w:rsidP="003576D1">
            <w:pPr>
              <w:spacing w:before="0" w:after="0"/>
              <w:ind w:right="-52"/>
              <w:jc w:val="left"/>
              <w:rPr>
                <w:rFonts w:ascii="Calibri" w:hAnsi="Calibri"/>
                <w:color w:val="000000"/>
                <w:sz w:val="22"/>
                <w:szCs w:val="22"/>
              </w:rPr>
            </w:pPr>
          </w:p>
        </w:tc>
        <w:tc>
          <w:tcPr>
            <w:tcW w:w="1819" w:type="pct"/>
            <w:gridSpan w:val="8"/>
            <w:vMerge w:val="restart"/>
            <w:tcBorders>
              <w:top w:val="nil"/>
              <w:left w:val="nil"/>
              <w:bottom w:val="nil"/>
              <w:right w:val="nil"/>
            </w:tcBorders>
            <w:vAlign w:val="center"/>
            <w:hideMark/>
          </w:tcPr>
          <w:p w14:paraId="55481B60" w14:textId="157CC02E" w:rsidR="00AC7B75" w:rsidRPr="003E742B" w:rsidRDefault="004E156C" w:rsidP="00B57370">
            <w:pPr>
              <w:spacing w:before="0"/>
              <w:rPr>
                <w:rFonts w:ascii="Calibri" w:hAnsi="Calibri"/>
                <w:sz w:val="22"/>
                <w:szCs w:val="22"/>
                <w:highlight w:val="yellow"/>
              </w:rPr>
            </w:pPr>
            <w:r w:rsidRPr="004E156C">
              <w:rPr>
                <w:rFonts w:ascii="Calibri" w:hAnsi="Calibri"/>
                <w:sz w:val="22"/>
                <w:szCs w:val="22"/>
              </w:rPr>
              <w:t>Some forms have been reformatted.</w:t>
            </w:r>
            <w:r>
              <w:rPr>
                <w:rFonts w:ascii="Calibri" w:hAnsi="Calibri"/>
                <w:sz w:val="22"/>
                <w:szCs w:val="22"/>
              </w:rPr>
              <w:t xml:space="preserve"> Must provide project numbers and total project budgets on Form 3.08.4. </w:t>
            </w:r>
          </w:p>
        </w:tc>
        <w:tc>
          <w:tcPr>
            <w:tcW w:w="84" w:type="pct"/>
            <w:tcBorders>
              <w:top w:val="nil"/>
              <w:left w:val="nil"/>
              <w:bottom w:val="nil"/>
              <w:right w:val="nil"/>
            </w:tcBorders>
            <w:shd w:val="clear" w:color="auto" w:fill="auto"/>
            <w:noWrap/>
            <w:hideMark/>
          </w:tcPr>
          <w:p w14:paraId="4A4F0E43" w14:textId="77777777" w:rsidR="00AC7B75" w:rsidRPr="004A5F44" w:rsidRDefault="00AC7B75"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55E2F8C1" w14:textId="77777777" w:rsidR="00AC7B75" w:rsidRPr="004A5F44" w:rsidRDefault="00AC7B75"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F6DEAD6" w14:textId="77777777" w:rsidR="00AC7B75" w:rsidRPr="004A5F44" w:rsidRDefault="00AC7B75"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36D71512" w14:textId="77777777" w:rsidR="00AC7B75" w:rsidRPr="004A5F44" w:rsidRDefault="00AC7B75" w:rsidP="003576D1">
            <w:pPr>
              <w:spacing w:before="0" w:after="0"/>
              <w:ind w:right="-52"/>
              <w:jc w:val="left"/>
              <w:rPr>
                <w:rFonts w:ascii="Calibri" w:hAnsi="Calibri"/>
                <w:color w:val="000000"/>
                <w:sz w:val="22"/>
                <w:szCs w:val="22"/>
              </w:rPr>
            </w:pPr>
          </w:p>
        </w:tc>
      </w:tr>
      <w:tr w:rsidR="0092248A" w:rsidRPr="004A5F44" w14:paraId="517473E2" w14:textId="77777777" w:rsidTr="00F678F7">
        <w:trPr>
          <w:gridAfter w:val="3"/>
          <w:wAfter w:w="1195" w:type="pct"/>
          <w:trHeight w:val="80"/>
        </w:trPr>
        <w:tc>
          <w:tcPr>
            <w:tcW w:w="352" w:type="pct"/>
            <w:gridSpan w:val="2"/>
            <w:tcBorders>
              <w:top w:val="nil"/>
              <w:left w:val="nil"/>
              <w:bottom w:val="nil"/>
              <w:right w:val="nil"/>
            </w:tcBorders>
            <w:shd w:val="clear" w:color="auto" w:fill="auto"/>
            <w:noWrap/>
          </w:tcPr>
          <w:p w14:paraId="4020D3FC" w14:textId="77777777"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3.08</w:t>
            </w:r>
          </w:p>
        </w:tc>
        <w:tc>
          <w:tcPr>
            <w:tcW w:w="535" w:type="pct"/>
            <w:tcBorders>
              <w:top w:val="nil"/>
              <w:left w:val="nil"/>
              <w:bottom w:val="nil"/>
              <w:right w:val="nil"/>
            </w:tcBorders>
            <w:shd w:val="clear" w:color="auto" w:fill="auto"/>
            <w:noWrap/>
          </w:tcPr>
          <w:p w14:paraId="4671364D" w14:textId="77777777"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Capital Assets</w:t>
            </w:r>
          </w:p>
        </w:tc>
        <w:tc>
          <w:tcPr>
            <w:tcW w:w="1819" w:type="pct"/>
            <w:gridSpan w:val="8"/>
            <w:vMerge/>
            <w:tcBorders>
              <w:top w:val="nil"/>
              <w:left w:val="nil"/>
              <w:bottom w:val="nil"/>
              <w:right w:val="nil"/>
            </w:tcBorders>
            <w:shd w:val="clear" w:color="auto" w:fill="auto"/>
            <w:hideMark/>
          </w:tcPr>
          <w:p w14:paraId="003CF3F4" w14:textId="77777777" w:rsidR="0092248A" w:rsidRPr="003F7CB9" w:rsidRDefault="0092248A" w:rsidP="0092248A">
            <w:pPr>
              <w:spacing w:before="0" w:after="0"/>
              <w:ind w:right="-52"/>
              <w:jc w:val="left"/>
              <w:rPr>
                <w:rFonts w:ascii="Calibri" w:hAnsi="Calibri"/>
                <w:color w:val="000000"/>
                <w:sz w:val="22"/>
                <w:szCs w:val="22"/>
                <w:highlight w:val="yellow"/>
              </w:rPr>
            </w:pPr>
          </w:p>
        </w:tc>
        <w:tc>
          <w:tcPr>
            <w:tcW w:w="84" w:type="pct"/>
            <w:tcBorders>
              <w:top w:val="nil"/>
              <w:left w:val="nil"/>
              <w:bottom w:val="nil"/>
              <w:right w:val="nil"/>
            </w:tcBorders>
            <w:shd w:val="clear" w:color="auto" w:fill="auto"/>
            <w:noWrap/>
            <w:hideMark/>
          </w:tcPr>
          <w:p w14:paraId="3D679229" w14:textId="77777777" w:rsidR="0092248A" w:rsidRPr="004A5F44" w:rsidRDefault="0092248A" w:rsidP="0092248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95F036A" w14:textId="70E4F56A" w:rsidR="0092248A" w:rsidRPr="004A5F44" w:rsidRDefault="00EA7F3F" w:rsidP="006E5F5C">
            <w:pPr>
              <w:spacing w:before="0" w:after="0"/>
              <w:ind w:right="-52"/>
              <w:contextualSpacing/>
              <w:jc w:val="left"/>
              <w:rPr>
                <w:rFonts w:ascii="Calibri" w:hAnsi="Calibri"/>
                <w:color w:val="000000"/>
                <w:sz w:val="22"/>
                <w:szCs w:val="22"/>
              </w:rPr>
            </w:pPr>
            <w:r w:rsidRPr="00376434">
              <w:rPr>
                <w:rFonts w:ascii="Calibri" w:hAnsi="Calibri"/>
                <w:color w:val="000000"/>
                <w:sz w:val="22"/>
                <w:szCs w:val="22"/>
              </w:rPr>
              <w:t>Layla</w:t>
            </w:r>
            <w:r w:rsidR="00376434" w:rsidRPr="00376434">
              <w:rPr>
                <w:rFonts w:ascii="Calibri" w:hAnsi="Calibri"/>
                <w:color w:val="000000"/>
                <w:sz w:val="22"/>
                <w:szCs w:val="22"/>
              </w:rPr>
              <w:t xml:space="preserve"> Ballard-Sholly</w:t>
            </w:r>
            <w:r w:rsidR="0092248A" w:rsidRPr="00376434">
              <w:rPr>
                <w:rFonts w:ascii="Calibri" w:hAnsi="Calibri"/>
                <w:color w:val="000000"/>
                <w:sz w:val="22"/>
                <w:szCs w:val="22"/>
              </w:rPr>
              <w:t xml:space="preserve"> </w:t>
            </w:r>
          </w:p>
        </w:tc>
        <w:tc>
          <w:tcPr>
            <w:tcW w:w="84" w:type="pct"/>
            <w:tcBorders>
              <w:top w:val="nil"/>
              <w:left w:val="nil"/>
              <w:bottom w:val="nil"/>
              <w:right w:val="nil"/>
            </w:tcBorders>
            <w:shd w:val="clear" w:color="auto" w:fill="auto"/>
            <w:noWrap/>
            <w:hideMark/>
          </w:tcPr>
          <w:p w14:paraId="5D12DD89" w14:textId="77777777" w:rsidR="0092248A" w:rsidRPr="004A5F44" w:rsidRDefault="0092248A" w:rsidP="0092248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37C9BD6B" w14:textId="77777777"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Pr>
                <w:rFonts w:ascii="Calibri" w:hAnsi="Calibri"/>
                <w:color w:val="000000"/>
                <w:sz w:val="22"/>
                <w:szCs w:val="22"/>
              </w:rPr>
              <w:t>0272</w:t>
            </w:r>
          </w:p>
        </w:tc>
      </w:tr>
      <w:tr w:rsidR="00376434" w:rsidRPr="004A5F44" w14:paraId="1E6182EE" w14:textId="77777777" w:rsidTr="00F678F7">
        <w:trPr>
          <w:gridAfter w:val="3"/>
          <w:wAfter w:w="1195" w:type="pct"/>
          <w:trHeight w:val="80"/>
        </w:trPr>
        <w:tc>
          <w:tcPr>
            <w:tcW w:w="352" w:type="pct"/>
            <w:gridSpan w:val="2"/>
            <w:tcBorders>
              <w:top w:val="nil"/>
              <w:left w:val="nil"/>
              <w:bottom w:val="nil"/>
              <w:right w:val="nil"/>
            </w:tcBorders>
            <w:shd w:val="clear" w:color="auto" w:fill="auto"/>
            <w:noWrap/>
          </w:tcPr>
          <w:p w14:paraId="60651D67" w14:textId="77777777" w:rsidR="00376434" w:rsidRPr="004A5F44" w:rsidRDefault="00376434" w:rsidP="0092248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tcPr>
          <w:p w14:paraId="2225D183" w14:textId="77777777" w:rsidR="00376434" w:rsidRPr="004A5F44" w:rsidRDefault="00376434" w:rsidP="0092248A">
            <w:pPr>
              <w:spacing w:before="0" w:after="0"/>
              <w:ind w:right="-52"/>
              <w:jc w:val="left"/>
              <w:rPr>
                <w:rFonts w:ascii="Calibri" w:hAnsi="Calibri"/>
                <w:color w:val="000000"/>
                <w:sz w:val="22"/>
                <w:szCs w:val="22"/>
              </w:rPr>
            </w:pPr>
          </w:p>
        </w:tc>
        <w:tc>
          <w:tcPr>
            <w:tcW w:w="1819" w:type="pct"/>
            <w:gridSpan w:val="8"/>
            <w:tcBorders>
              <w:top w:val="nil"/>
              <w:left w:val="nil"/>
              <w:bottom w:val="nil"/>
              <w:right w:val="nil"/>
            </w:tcBorders>
            <w:shd w:val="clear" w:color="auto" w:fill="auto"/>
          </w:tcPr>
          <w:p w14:paraId="1FE340F2" w14:textId="77777777" w:rsidR="00376434" w:rsidRPr="003F7CB9" w:rsidRDefault="00376434" w:rsidP="0092248A">
            <w:pPr>
              <w:spacing w:before="0" w:after="0"/>
              <w:ind w:right="-52"/>
              <w:jc w:val="left"/>
              <w:rPr>
                <w:rFonts w:ascii="Calibri" w:hAnsi="Calibri"/>
                <w:color w:val="000000"/>
                <w:sz w:val="22"/>
                <w:szCs w:val="22"/>
                <w:highlight w:val="yellow"/>
              </w:rPr>
            </w:pPr>
          </w:p>
        </w:tc>
        <w:tc>
          <w:tcPr>
            <w:tcW w:w="84" w:type="pct"/>
            <w:tcBorders>
              <w:top w:val="nil"/>
              <w:left w:val="nil"/>
              <w:bottom w:val="nil"/>
              <w:right w:val="nil"/>
            </w:tcBorders>
            <w:shd w:val="clear" w:color="auto" w:fill="auto"/>
            <w:noWrap/>
          </w:tcPr>
          <w:p w14:paraId="6C3F39C9" w14:textId="77777777" w:rsidR="00376434" w:rsidRPr="004A5F44" w:rsidRDefault="00376434" w:rsidP="0092248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tcPr>
          <w:p w14:paraId="5098C4DC" w14:textId="77777777" w:rsidR="00376434" w:rsidRPr="00376434" w:rsidRDefault="00376434"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tcPr>
          <w:p w14:paraId="0FC51B0B" w14:textId="77777777" w:rsidR="00376434" w:rsidRPr="004A5F44" w:rsidRDefault="00376434" w:rsidP="0092248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tcPr>
          <w:p w14:paraId="17AB36C9" w14:textId="77777777" w:rsidR="00376434" w:rsidRPr="004A5F44" w:rsidRDefault="00376434" w:rsidP="0092248A">
            <w:pPr>
              <w:spacing w:before="0" w:after="0"/>
              <w:ind w:right="-52"/>
              <w:jc w:val="left"/>
              <w:rPr>
                <w:rFonts w:ascii="Calibri" w:hAnsi="Calibri"/>
                <w:color w:val="000000"/>
                <w:sz w:val="22"/>
                <w:szCs w:val="22"/>
              </w:rPr>
            </w:pPr>
          </w:p>
        </w:tc>
      </w:tr>
      <w:tr w:rsidR="0092248A" w:rsidRPr="004A5F44" w14:paraId="66595D84"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7B8E7FE9" w14:textId="473777A8"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3.09</w:t>
            </w:r>
            <w:r w:rsidR="006C6BA5">
              <w:rPr>
                <w:rFonts w:ascii="Calibri" w:hAnsi="Calibri"/>
                <w:color w:val="000000"/>
                <w:sz w:val="22"/>
                <w:szCs w:val="22"/>
              </w:rPr>
              <w:t>*</w:t>
            </w:r>
          </w:p>
        </w:tc>
        <w:tc>
          <w:tcPr>
            <w:tcW w:w="535" w:type="pct"/>
            <w:tcBorders>
              <w:top w:val="nil"/>
              <w:left w:val="nil"/>
              <w:bottom w:val="nil"/>
              <w:right w:val="nil"/>
            </w:tcBorders>
            <w:shd w:val="clear" w:color="auto" w:fill="auto"/>
            <w:noWrap/>
            <w:hideMark/>
          </w:tcPr>
          <w:p w14:paraId="24CE138B" w14:textId="087CA56E"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Leases</w:t>
            </w:r>
          </w:p>
        </w:tc>
        <w:tc>
          <w:tcPr>
            <w:tcW w:w="1819" w:type="pct"/>
            <w:gridSpan w:val="8"/>
            <w:vMerge w:val="restart"/>
            <w:tcBorders>
              <w:top w:val="nil"/>
              <w:left w:val="nil"/>
              <w:bottom w:val="nil"/>
              <w:right w:val="nil"/>
            </w:tcBorders>
            <w:hideMark/>
          </w:tcPr>
          <w:p w14:paraId="2AA7F0D1" w14:textId="50CA10EE" w:rsidR="0092248A" w:rsidRPr="00AB0ECF" w:rsidRDefault="006C6BA5" w:rsidP="0092248A">
            <w:pPr>
              <w:spacing w:before="0" w:after="0"/>
              <w:ind w:right="-52"/>
              <w:jc w:val="left"/>
              <w:rPr>
                <w:rFonts w:ascii="Calibri" w:hAnsi="Calibri"/>
                <w:color w:val="000000"/>
                <w:sz w:val="22"/>
                <w:szCs w:val="22"/>
              </w:rPr>
            </w:pPr>
            <w:r>
              <w:rPr>
                <w:rFonts w:ascii="Calibri" w:hAnsi="Calibri"/>
                <w:color w:val="000000"/>
                <w:sz w:val="22"/>
                <w:szCs w:val="22"/>
              </w:rPr>
              <w:t xml:space="preserve">No </w:t>
            </w:r>
            <w:r w:rsidR="00896426">
              <w:rPr>
                <w:rFonts w:ascii="Calibri" w:hAnsi="Calibri"/>
                <w:color w:val="000000"/>
                <w:sz w:val="22"/>
                <w:szCs w:val="22"/>
              </w:rPr>
              <w:t>c</w:t>
            </w:r>
            <w:r>
              <w:rPr>
                <w:rFonts w:ascii="Calibri" w:hAnsi="Calibri"/>
                <w:color w:val="000000"/>
                <w:sz w:val="22"/>
                <w:szCs w:val="22"/>
              </w:rPr>
              <w:t>hange</w:t>
            </w:r>
            <w:r w:rsidR="00896426">
              <w:rPr>
                <w:rFonts w:ascii="Calibri" w:hAnsi="Calibri"/>
                <w:color w:val="000000"/>
                <w:sz w:val="22"/>
                <w:szCs w:val="22"/>
              </w:rPr>
              <w:t>s.</w:t>
            </w:r>
          </w:p>
        </w:tc>
        <w:tc>
          <w:tcPr>
            <w:tcW w:w="84" w:type="pct"/>
            <w:tcBorders>
              <w:top w:val="nil"/>
              <w:left w:val="nil"/>
              <w:bottom w:val="nil"/>
              <w:right w:val="nil"/>
            </w:tcBorders>
            <w:shd w:val="clear" w:color="auto" w:fill="auto"/>
            <w:noWrap/>
            <w:hideMark/>
          </w:tcPr>
          <w:p w14:paraId="07CE4225" w14:textId="77777777" w:rsidR="0092248A" w:rsidRPr="004A5F44" w:rsidRDefault="0092248A" w:rsidP="0092248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0ECC2C1C" w14:textId="2184153D" w:rsidR="0092248A" w:rsidRPr="00A4195F" w:rsidRDefault="00A4195F" w:rsidP="006E5F5C">
            <w:pPr>
              <w:spacing w:before="0" w:after="0"/>
              <w:ind w:right="-52"/>
              <w:contextualSpacing/>
              <w:jc w:val="left"/>
              <w:rPr>
                <w:rFonts w:ascii="Calibri" w:hAnsi="Calibri"/>
                <w:color w:val="000000"/>
                <w:sz w:val="22"/>
                <w:szCs w:val="22"/>
              </w:rPr>
            </w:pPr>
            <w:r>
              <w:rPr>
                <w:rFonts w:ascii="Calibri" w:hAnsi="Calibri"/>
                <w:color w:val="000000"/>
                <w:sz w:val="22"/>
                <w:szCs w:val="22"/>
              </w:rPr>
              <w:t>James Torbert</w:t>
            </w:r>
            <w:r w:rsidR="0092248A" w:rsidRPr="00A4195F">
              <w:rPr>
                <w:rFonts w:ascii="Calibri" w:hAnsi="Calibri"/>
                <w:color w:val="000000"/>
                <w:sz w:val="22"/>
                <w:szCs w:val="22"/>
                <w:highlight w:val="yellow"/>
              </w:rPr>
              <w:t xml:space="preserve"> </w:t>
            </w:r>
          </w:p>
        </w:tc>
        <w:tc>
          <w:tcPr>
            <w:tcW w:w="84" w:type="pct"/>
            <w:tcBorders>
              <w:top w:val="nil"/>
              <w:left w:val="nil"/>
              <w:bottom w:val="nil"/>
              <w:right w:val="nil"/>
            </w:tcBorders>
            <w:shd w:val="clear" w:color="auto" w:fill="auto"/>
            <w:noWrap/>
            <w:hideMark/>
          </w:tcPr>
          <w:p w14:paraId="49C4D728" w14:textId="77777777" w:rsidR="0092248A" w:rsidRPr="004A5F44" w:rsidRDefault="0092248A" w:rsidP="0092248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F7F0116" w14:textId="66EC2D09" w:rsidR="0092248A" w:rsidRPr="004A5F44" w:rsidRDefault="0092248A" w:rsidP="0092248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A4195F">
              <w:rPr>
                <w:rFonts w:ascii="Calibri" w:hAnsi="Calibri"/>
                <w:color w:val="000000"/>
                <w:sz w:val="22"/>
                <w:szCs w:val="22"/>
              </w:rPr>
              <w:t>4178</w:t>
            </w:r>
          </w:p>
        </w:tc>
      </w:tr>
      <w:tr w:rsidR="00AC7B75" w:rsidRPr="004A5F44" w14:paraId="350FBD10"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0D657775" w14:textId="77777777" w:rsidR="00AC7B75" w:rsidRPr="004A5F44" w:rsidRDefault="00AC7B75" w:rsidP="003576D1">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08A48991" w14:textId="77777777" w:rsidR="00AC7B75" w:rsidRPr="004A5F44" w:rsidRDefault="00AC7B75" w:rsidP="003576D1">
            <w:pPr>
              <w:spacing w:before="0" w:after="0"/>
              <w:ind w:right="-52"/>
              <w:jc w:val="left"/>
              <w:rPr>
                <w:rFonts w:ascii="Calibri" w:hAnsi="Calibri"/>
                <w:color w:val="000000"/>
                <w:sz w:val="22"/>
                <w:szCs w:val="22"/>
              </w:rPr>
            </w:pPr>
          </w:p>
        </w:tc>
        <w:tc>
          <w:tcPr>
            <w:tcW w:w="1819" w:type="pct"/>
            <w:gridSpan w:val="8"/>
            <w:vMerge/>
            <w:tcBorders>
              <w:top w:val="nil"/>
              <w:left w:val="nil"/>
              <w:bottom w:val="nil"/>
              <w:right w:val="nil"/>
            </w:tcBorders>
            <w:shd w:val="clear" w:color="auto" w:fill="auto"/>
            <w:hideMark/>
          </w:tcPr>
          <w:p w14:paraId="2B3E2CC9" w14:textId="77777777" w:rsidR="00AC7B75" w:rsidRPr="00AB0ECF" w:rsidRDefault="00AC7B75" w:rsidP="003576D1">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0B48DBD6" w14:textId="77777777" w:rsidR="00AC7B75" w:rsidRPr="004A5F44" w:rsidRDefault="00AC7B75"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052658CB" w14:textId="77777777" w:rsidR="00AC7B75" w:rsidRPr="004A5F44" w:rsidRDefault="00AC7B75"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2B291221" w14:textId="77777777" w:rsidR="00AC7B75" w:rsidRPr="004A5F44" w:rsidRDefault="00AC7B75"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1A9402C" w14:textId="77777777" w:rsidR="00AC7B75" w:rsidRPr="004A5F44" w:rsidRDefault="00AC7B75" w:rsidP="003576D1">
            <w:pPr>
              <w:spacing w:before="0" w:after="0"/>
              <w:ind w:right="-52"/>
              <w:jc w:val="left"/>
              <w:rPr>
                <w:rFonts w:ascii="Calibri" w:hAnsi="Calibri"/>
                <w:color w:val="000000"/>
                <w:sz w:val="22"/>
                <w:szCs w:val="22"/>
              </w:rPr>
            </w:pPr>
          </w:p>
        </w:tc>
      </w:tr>
      <w:tr w:rsidR="00AC7B75" w:rsidRPr="004A5F44" w14:paraId="7333E9DC"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37D4E9ED" w14:textId="77777777" w:rsidR="00AC7B75" w:rsidRPr="004A5F44" w:rsidRDefault="00AC7B75" w:rsidP="003576D1">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7E1EFE23" w14:textId="77777777" w:rsidR="00AC7B75" w:rsidRPr="004A5F44" w:rsidRDefault="00AC7B75" w:rsidP="003576D1">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hideMark/>
          </w:tcPr>
          <w:p w14:paraId="06088B24" w14:textId="77777777" w:rsidR="00AC7B75" w:rsidRDefault="00AC7B75" w:rsidP="003576D1">
            <w:pPr>
              <w:spacing w:before="0" w:after="0"/>
              <w:ind w:right="-52"/>
              <w:jc w:val="left"/>
              <w:rPr>
                <w:rFonts w:ascii="Calibri" w:hAnsi="Calibri"/>
                <w:color w:val="000000"/>
                <w:sz w:val="22"/>
                <w:szCs w:val="22"/>
                <w:highlight w:val="yellow"/>
              </w:rPr>
            </w:pPr>
            <w:r>
              <w:rPr>
                <w:rFonts w:ascii="Calibri" w:hAnsi="Calibri"/>
                <w:color w:val="000000"/>
                <w:sz w:val="22"/>
                <w:szCs w:val="22"/>
                <w:highlight w:val="yellow"/>
              </w:rPr>
              <w:t xml:space="preserve">                            </w:t>
            </w:r>
          </w:p>
          <w:p w14:paraId="10CE9276" w14:textId="77777777" w:rsidR="00AC7B75" w:rsidRPr="00E151B0" w:rsidRDefault="00AC7B75" w:rsidP="003576D1">
            <w:pPr>
              <w:spacing w:before="0" w:after="0"/>
              <w:ind w:right="-52"/>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hideMark/>
          </w:tcPr>
          <w:p w14:paraId="5FD57D0D" w14:textId="77777777" w:rsidR="00AC7B75" w:rsidRPr="00E151B0" w:rsidRDefault="00AC7B75" w:rsidP="003576D1">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hideMark/>
          </w:tcPr>
          <w:p w14:paraId="1C2B40CE" w14:textId="77777777" w:rsidR="00AC7B75" w:rsidRPr="00AB0ECF" w:rsidRDefault="00AC7B75" w:rsidP="003576D1">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hideMark/>
          </w:tcPr>
          <w:p w14:paraId="4261D396" w14:textId="77777777" w:rsidR="00AC7B75" w:rsidRPr="00AB0ECF" w:rsidRDefault="00AC7B75" w:rsidP="003576D1">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hideMark/>
          </w:tcPr>
          <w:p w14:paraId="3DFEF689" w14:textId="77777777" w:rsidR="00AC7B75" w:rsidRPr="004A5F44" w:rsidRDefault="00AC7B75" w:rsidP="003576D1">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hideMark/>
          </w:tcPr>
          <w:p w14:paraId="7944C5D3" w14:textId="77777777" w:rsidR="00AC7B75" w:rsidRPr="004A5F44" w:rsidRDefault="00AC7B75" w:rsidP="003576D1">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5E662A9C" w14:textId="77777777" w:rsidR="00AC7B75" w:rsidRPr="004A5F44" w:rsidRDefault="00AC7B75"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107D7F5D" w14:textId="77777777" w:rsidR="00AC7B75" w:rsidRPr="004A5F44" w:rsidRDefault="00AC7B75"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398BBA59" w14:textId="77777777" w:rsidR="00AC7B75" w:rsidRPr="004A5F44" w:rsidRDefault="00AC7B75"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4078BE93" w14:textId="77777777" w:rsidR="00AC7B75" w:rsidRPr="004A5F44" w:rsidRDefault="00AC7B75" w:rsidP="003576D1">
            <w:pPr>
              <w:spacing w:before="0" w:after="0"/>
              <w:ind w:right="-52"/>
              <w:jc w:val="left"/>
              <w:rPr>
                <w:rFonts w:ascii="Calibri" w:hAnsi="Calibri"/>
                <w:color w:val="000000"/>
                <w:sz w:val="22"/>
                <w:szCs w:val="22"/>
              </w:rPr>
            </w:pPr>
          </w:p>
        </w:tc>
      </w:tr>
      <w:tr w:rsidR="0026212D" w:rsidRPr="004A5F44" w14:paraId="30EA5DBD"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299FA2AC" w14:textId="77777777" w:rsidR="0026212D" w:rsidRPr="004A5F44" w:rsidRDefault="0026212D" w:rsidP="003576D1">
            <w:pPr>
              <w:spacing w:before="0" w:after="0"/>
              <w:ind w:right="-52"/>
              <w:jc w:val="left"/>
              <w:rPr>
                <w:rFonts w:ascii="Calibri" w:hAnsi="Calibri"/>
                <w:color w:val="000000"/>
                <w:sz w:val="22"/>
                <w:szCs w:val="22"/>
              </w:rPr>
            </w:pPr>
            <w:r>
              <w:rPr>
                <w:rFonts w:ascii="Calibri" w:hAnsi="Calibri"/>
                <w:color w:val="000000"/>
                <w:sz w:val="22"/>
                <w:szCs w:val="22"/>
              </w:rPr>
              <w:t>3</w:t>
            </w:r>
            <w:r w:rsidRPr="004A5F44">
              <w:rPr>
                <w:rFonts w:ascii="Calibri" w:hAnsi="Calibri"/>
                <w:color w:val="000000"/>
                <w:sz w:val="22"/>
                <w:szCs w:val="22"/>
              </w:rPr>
              <w:t>.10</w:t>
            </w:r>
          </w:p>
        </w:tc>
        <w:tc>
          <w:tcPr>
            <w:tcW w:w="535" w:type="pct"/>
            <w:tcBorders>
              <w:top w:val="nil"/>
              <w:left w:val="nil"/>
              <w:bottom w:val="nil"/>
              <w:right w:val="nil"/>
            </w:tcBorders>
            <w:shd w:val="clear" w:color="auto" w:fill="auto"/>
            <w:noWrap/>
            <w:hideMark/>
          </w:tcPr>
          <w:p w14:paraId="6C305CCD" w14:textId="5FAF3D59" w:rsidR="0026212D" w:rsidRPr="004A5F44" w:rsidRDefault="0026212D" w:rsidP="003576D1">
            <w:pPr>
              <w:spacing w:before="0" w:after="0"/>
              <w:ind w:right="-52"/>
              <w:jc w:val="left"/>
              <w:rPr>
                <w:rFonts w:ascii="Calibri" w:hAnsi="Calibri"/>
                <w:color w:val="000000"/>
                <w:sz w:val="22"/>
                <w:szCs w:val="22"/>
              </w:rPr>
            </w:pPr>
            <w:r w:rsidRPr="004A5F44">
              <w:rPr>
                <w:rFonts w:ascii="Calibri" w:hAnsi="Calibri"/>
                <w:color w:val="000000"/>
                <w:sz w:val="22"/>
                <w:szCs w:val="22"/>
              </w:rPr>
              <w:t xml:space="preserve">Loans </w:t>
            </w:r>
            <w:r>
              <w:rPr>
                <w:rFonts w:ascii="Calibri" w:hAnsi="Calibri"/>
                <w:color w:val="000000"/>
                <w:sz w:val="22"/>
                <w:szCs w:val="22"/>
              </w:rPr>
              <w:t xml:space="preserve">and Notes </w:t>
            </w:r>
            <w:r w:rsidRPr="004A5F44">
              <w:rPr>
                <w:rFonts w:ascii="Calibri" w:hAnsi="Calibri"/>
                <w:color w:val="000000"/>
                <w:sz w:val="22"/>
                <w:szCs w:val="22"/>
              </w:rPr>
              <w:t>Receivable</w:t>
            </w:r>
          </w:p>
        </w:tc>
        <w:tc>
          <w:tcPr>
            <w:tcW w:w="1819" w:type="pct"/>
            <w:gridSpan w:val="8"/>
            <w:tcBorders>
              <w:top w:val="nil"/>
              <w:left w:val="nil"/>
              <w:bottom w:val="nil"/>
              <w:right w:val="nil"/>
            </w:tcBorders>
            <w:shd w:val="clear" w:color="auto" w:fill="auto"/>
            <w:noWrap/>
            <w:hideMark/>
          </w:tcPr>
          <w:p w14:paraId="6A192EC8" w14:textId="0DC39DE4" w:rsidR="0026212D" w:rsidRPr="004A5F44" w:rsidRDefault="000B0350" w:rsidP="003576D1">
            <w:pPr>
              <w:spacing w:before="0" w:after="0"/>
              <w:ind w:right="-52"/>
              <w:jc w:val="left"/>
              <w:rPr>
                <w:rFonts w:ascii="Calibri" w:hAnsi="Calibri"/>
                <w:color w:val="000000"/>
                <w:sz w:val="22"/>
                <w:szCs w:val="22"/>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63248D70" w14:textId="77777777" w:rsidR="0026212D" w:rsidRPr="004A5F44" w:rsidRDefault="0026212D"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0C52F947" w14:textId="77F71BCD" w:rsidR="0026212D" w:rsidRPr="004A5F44" w:rsidRDefault="0026212D" w:rsidP="006E5F5C">
            <w:pPr>
              <w:spacing w:before="0" w:after="0"/>
              <w:ind w:right="-52"/>
              <w:contextualSpacing/>
              <w:jc w:val="left"/>
              <w:rPr>
                <w:rFonts w:ascii="Calibri" w:hAnsi="Calibri"/>
                <w:color w:val="000000"/>
                <w:sz w:val="22"/>
                <w:szCs w:val="22"/>
              </w:rPr>
            </w:pPr>
            <w:r w:rsidRPr="00376434">
              <w:rPr>
                <w:rFonts w:ascii="Calibri" w:hAnsi="Calibri"/>
                <w:color w:val="000000"/>
                <w:sz w:val="22"/>
                <w:szCs w:val="22"/>
              </w:rPr>
              <w:t xml:space="preserve">Layla Ballard-Sholly </w:t>
            </w:r>
          </w:p>
        </w:tc>
        <w:tc>
          <w:tcPr>
            <w:tcW w:w="84" w:type="pct"/>
            <w:tcBorders>
              <w:top w:val="nil"/>
              <w:left w:val="nil"/>
              <w:bottom w:val="nil"/>
              <w:right w:val="nil"/>
            </w:tcBorders>
            <w:shd w:val="clear" w:color="auto" w:fill="auto"/>
            <w:noWrap/>
            <w:hideMark/>
          </w:tcPr>
          <w:p w14:paraId="6631C85F" w14:textId="77777777" w:rsidR="0026212D" w:rsidRPr="004A5F44" w:rsidRDefault="0026212D"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EE0CB77" w14:textId="51EF32B4" w:rsidR="0026212D" w:rsidRPr="004A5F44" w:rsidRDefault="0026212D" w:rsidP="003576D1">
            <w:pPr>
              <w:spacing w:before="0" w:after="0"/>
              <w:ind w:right="-52"/>
              <w:jc w:val="left"/>
              <w:rPr>
                <w:rFonts w:ascii="Calibri" w:hAnsi="Calibri"/>
                <w:color w:val="000000"/>
                <w:sz w:val="22"/>
                <w:szCs w:val="22"/>
              </w:rPr>
            </w:pPr>
            <w:r w:rsidRPr="004A5F44">
              <w:rPr>
                <w:rFonts w:ascii="Calibri" w:hAnsi="Calibri"/>
                <w:color w:val="000000"/>
                <w:sz w:val="22"/>
                <w:szCs w:val="22"/>
              </w:rPr>
              <w:t>803-734-</w:t>
            </w:r>
            <w:r>
              <w:rPr>
                <w:rFonts w:ascii="Calibri" w:hAnsi="Calibri"/>
                <w:color w:val="000000"/>
                <w:sz w:val="22"/>
                <w:szCs w:val="22"/>
              </w:rPr>
              <w:t>0272</w:t>
            </w:r>
          </w:p>
        </w:tc>
      </w:tr>
      <w:tr w:rsidR="00AC7B75" w:rsidRPr="004A5F44" w14:paraId="700E302D"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2A1AD668" w14:textId="77777777" w:rsidR="00AC7B75" w:rsidRPr="004A5F44" w:rsidRDefault="00AC7B75" w:rsidP="003576D1">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62A016D7" w14:textId="77777777" w:rsidR="00AC7B75" w:rsidRPr="004A5F44" w:rsidRDefault="00AC7B75" w:rsidP="003576D1">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hideMark/>
          </w:tcPr>
          <w:p w14:paraId="329925C0" w14:textId="77777777" w:rsidR="00AC7B75" w:rsidRPr="004A5F44" w:rsidRDefault="00AC7B75" w:rsidP="003576D1">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hideMark/>
          </w:tcPr>
          <w:p w14:paraId="384A02F4" w14:textId="77777777" w:rsidR="00AC7B75" w:rsidRPr="004A5F44" w:rsidRDefault="00AC7B75" w:rsidP="003576D1">
            <w:pPr>
              <w:spacing w:before="0" w:after="0"/>
              <w:ind w:right="-52"/>
              <w:jc w:val="left"/>
              <w:rPr>
                <w:rFonts w:ascii="Calibri" w:hAnsi="Calibri"/>
                <w:color w:val="000000"/>
                <w:sz w:val="22"/>
                <w:szCs w:val="22"/>
              </w:rPr>
            </w:pPr>
          </w:p>
        </w:tc>
        <w:tc>
          <w:tcPr>
            <w:tcW w:w="337" w:type="pct"/>
            <w:tcBorders>
              <w:top w:val="nil"/>
              <w:left w:val="nil"/>
              <w:bottom w:val="nil"/>
              <w:right w:val="nil"/>
            </w:tcBorders>
            <w:shd w:val="clear" w:color="auto" w:fill="auto"/>
            <w:noWrap/>
            <w:hideMark/>
          </w:tcPr>
          <w:p w14:paraId="0A601A11" w14:textId="77777777" w:rsidR="00AC7B75" w:rsidRPr="004A5F44" w:rsidRDefault="00AC7B75" w:rsidP="003576D1">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23D4C655" w14:textId="77777777" w:rsidR="00AC7B75" w:rsidRPr="004A5F44" w:rsidRDefault="00AC7B75" w:rsidP="003576D1">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34C981A6" w14:textId="77777777" w:rsidR="00AC7B75" w:rsidRPr="004A5F44" w:rsidRDefault="00AC7B75" w:rsidP="003576D1">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317F7DD2" w14:textId="77777777" w:rsidR="00AC7B75" w:rsidRPr="004A5F44" w:rsidRDefault="00AC7B75" w:rsidP="003576D1">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030AA3D4" w14:textId="77777777" w:rsidR="00AC7B75" w:rsidRPr="004A5F44" w:rsidRDefault="00AC7B75" w:rsidP="003576D1">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A3BBAE1" w14:textId="77777777" w:rsidR="00AC7B75" w:rsidRPr="004A5F44" w:rsidRDefault="00AC7B75"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07D32CA" w14:textId="77777777" w:rsidR="00AC7B75" w:rsidRPr="004A5F44" w:rsidRDefault="00AC7B75" w:rsidP="003576D1">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E125331" w14:textId="77777777" w:rsidR="00AC7B75" w:rsidRPr="004A5F44" w:rsidRDefault="00AC7B75" w:rsidP="003576D1">
            <w:pPr>
              <w:spacing w:before="0" w:after="0"/>
              <w:ind w:right="-52"/>
              <w:jc w:val="left"/>
              <w:rPr>
                <w:rFonts w:ascii="Calibri" w:hAnsi="Calibri"/>
                <w:color w:val="000000"/>
                <w:sz w:val="22"/>
                <w:szCs w:val="22"/>
              </w:rPr>
            </w:pPr>
          </w:p>
        </w:tc>
      </w:tr>
      <w:tr w:rsidR="00896426" w:rsidRPr="004A5F44" w14:paraId="6A55D90C" w14:textId="77777777" w:rsidTr="00896426">
        <w:trPr>
          <w:gridAfter w:val="3"/>
          <w:wAfter w:w="1195" w:type="pct"/>
          <w:trHeight w:val="300"/>
        </w:trPr>
        <w:tc>
          <w:tcPr>
            <w:tcW w:w="352" w:type="pct"/>
            <w:gridSpan w:val="2"/>
            <w:tcBorders>
              <w:top w:val="nil"/>
              <w:left w:val="nil"/>
              <w:bottom w:val="nil"/>
              <w:right w:val="nil"/>
            </w:tcBorders>
            <w:shd w:val="clear" w:color="auto" w:fill="auto"/>
            <w:noWrap/>
            <w:hideMark/>
          </w:tcPr>
          <w:p w14:paraId="6B5B2315" w14:textId="77777777" w:rsidR="00896426" w:rsidRPr="004A5F44" w:rsidRDefault="00896426" w:rsidP="0009389A">
            <w:pPr>
              <w:spacing w:before="0" w:after="0"/>
              <w:ind w:right="-52"/>
              <w:jc w:val="left"/>
              <w:rPr>
                <w:rFonts w:ascii="Calibri" w:hAnsi="Calibri"/>
                <w:color w:val="000000"/>
                <w:sz w:val="22"/>
                <w:szCs w:val="22"/>
              </w:rPr>
            </w:pPr>
            <w:r w:rsidRPr="004A5F44">
              <w:rPr>
                <w:rFonts w:ascii="Calibri" w:hAnsi="Calibri"/>
                <w:color w:val="000000"/>
                <w:sz w:val="22"/>
                <w:szCs w:val="22"/>
              </w:rPr>
              <w:t>3.11</w:t>
            </w:r>
          </w:p>
        </w:tc>
        <w:tc>
          <w:tcPr>
            <w:tcW w:w="535" w:type="pct"/>
            <w:tcBorders>
              <w:top w:val="nil"/>
              <w:left w:val="nil"/>
              <w:bottom w:val="nil"/>
              <w:right w:val="nil"/>
            </w:tcBorders>
            <w:shd w:val="clear" w:color="auto" w:fill="auto"/>
            <w:noWrap/>
            <w:hideMark/>
          </w:tcPr>
          <w:p w14:paraId="225DDCD5" w14:textId="1F6E53D3" w:rsidR="00896426" w:rsidRPr="004A5F44" w:rsidRDefault="00896426" w:rsidP="0009389A">
            <w:pPr>
              <w:spacing w:before="0" w:after="0"/>
              <w:ind w:right="-52"/>
              <w:jc w:val="left"/>
              <w:rPr>
                <w:rFonts w:ascii="Calibri" w:hAnsi="Calibri"/>
                <w:color w:val="000000"/>
                <w:sz w:val="22"/>
                <w:szCs w:val="22"/>
              </w:rPr>
            </w:pPr>
            <w:r>
              <w:rPr>
                <w:rFonts w:ascii="Calibri" w:hAnsi="Calibri"/>
                <w:color w:val="000000"/>
                <w:sz w:val="22"/>
                <w:szCs w:val="22"/>
              </w:rPr>
              <w:t>SBITA</w:t>
            </w:r>
          </w:p>
        </w:tc>
        <w:tc>
          <w:tcPr>
            <w:tcW w:w="1111" w:type="pct"/>
            <w:gridSpan w:val="3"/>
            <w:tcBorders>
              <w:top w:val="nil"/>
              <w:left w:val="nil"/>
              <w:bottom w:val="nil"/>
              <w:right w:val="nil"/>
            </w:tcBorders>
            <w:shd w:val="clear" w:color="auto" w:fill="auto"/>
            <w:noWrap/>
            <w:hideMark/>
          </w:tcPr>
          <w:p w14:paraId="445E5DA7" w14:textId="723CDB4C" w:rsidR="00896426" w:rsidRPr="004A5F44" w:rsidRDefault="00896426" w:rsidP="0009389A">
            <w:pPr>
              <w:spacing w:before="0" w:after="0"/>
              <w:ind w:right="-52"/>
              <w:jc w:val="left"/>
              <w:rPr>
                <w:rFonts w:ascii="Calibri" w:hAnsi="Calibri"/>
                <w:color w:val="000000"/>
                <w:sz w:val="22"/>
                <w:szCs w:val="22"/>
              </w:rPr>
            </w:pPr>
            <w:r>
              <w:rPr>
                <w:rFonts w:ascii="Calibri" w:hAnsi="Calibri"/>
                <w:color w:val="000000"/>
                <w:sz w:val="22"/>
                <w:szCs w:val="22"/>
              </w:rPr>
              <w:t>No changes.</w:t>
            </w:r>
          </w:p>
        </w:tc>
        <w:tc>
          <w:tcPr>
            <w:tcW w:w="314" w:type="pct"/>
            <w:gridSpan w:val="2"/>
            <w:tcBorders>
              <w:top w:val="nil"/>
              <w:left w:val="nil"/>
              <w:bottom w:val="nil"/>
              <w:right w:val="nil"/>
            </w:tcBorders>
            <w:shd w:val="clear" w:color="auto" w:fill="auto"/>
            <w:noWrap/>
            <w:hideMark/>
          </w:tcPr>
          <w:p w14:paraId="733B9BCB" w14:textId="77777777" w:rsidR="00896426" w:rsidRPr="004A5F44" w:rsidRDefault="00896426"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50D4A990" w14:textId="77777777" w:rsidR="00896426" w:rsidRPr="004A5F44" w:rsidRDefault="00896426"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0979EC08" w14:textId="77777777" w:rsidR="00896426" w:rsidRPr="004A5F44" w:rsidRDefault="00896426"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2560A5E8" w14:textId="77777777" w:rsidR="00896426" w:rsidRPr="004A5F44" w:rsidRDefault="00896426"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07C97533" w14:textId="73616623" w:rsidR="00896426" w:rsidRPr="004A5F44" w:rsidRDefault="00896426" w:rsidP="006E5F5C">
            <w:pPr>
              <w:spacing w:before="0" w:after="0"/>
              <w:ind w:right="-52"/>
              <w:contextualSpacing/>
              <w:jc w:val="left"/>
              <w:rPr>
                <w:rFonts w:ascii="Calibri" w:hAnsi="Calibri"/>
                <w:color w:val="000000"/>
                <w:sz w:val="22"/>
                <w:szCs w:val="22"/>
              </w:rPr>
            </w:pPr>
            <w:r>
              <w:rPr>
                <w:rFonts w:ascii="Calibri" w:hAnsi="Calibri"/>
                <w:color w:val="000000"/>
                <w:sz w:val="22"/>
                <w:szCs w:val="22"/>
              </w:rPr>
              <w:t>James Torbert</w:t>
            </w:r>
          </w:p>
        </w:tc>
        <w:tc>
          <w:tcPr>
            <w:tcW w:w="84" w:type="pct"/>
            <w:tcBorders>
              <w:top w:val="nil"/>
              <w:left w:val="nil"/>
              <w:bottom w:val="nil"/>
              <w:right w:val="nil"/>
            </w:tcBorders>
            <w:shd w:val="clear" w:color="auto" w:fill="auto"/>
            <w:noWrap/>
            <w:hideMark/>
          </w:tcPr>
          <w:p w14:paraId="56A1D6AE" w14:textId="77777777" w:rsidR="00896426" w:rsidRPr="004A5F44" w:rsidRDefault="00896426"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9B5B10C" w14:textId="7A983D8E" w:rsidR="00896426" w:rsidRPr="004A5F44" w:rsidRDefault="00896426"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Pr>
                <w:rFonts w:ascii="Calibri" w:hAnsi="Calibri"/>
                <w:color w:val="000000"/>
                <w:sz w:val="22"/>
                <w:szCs w:val="22"/>
              </w:rPr>
              <w:t>4178</w:t>
            </w:r>
          </w:p>
        </w:tc>
      </w:tr>
      <w:tr w:rsidR="0009389A" w:rsidRPr="004A5F44" w14:paraId="53B5A08C"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7A748A55"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63EBCB13"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tcPr>
          <w:p w14:paraId="67DA7CD4" w14:textId="77777777" w:rsidR="0009389A" w:rsidRPr="004A5F44" w:rsidRDefault="0009389A" w:rsidP="0009389A">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tcPr>
          <w:p w14:paraId="43F3C48E" w14:textId="77777777" w:rsidR="0009389A" w:rsidRPr="004A5F44" w:rsidRDefault="0009389A" w:rsidP="0009389A">
            <w:pPr>
              <w:spacing w:before="0" w:after="0"/>
              <w:ind w:right="-52"/>
              <w:jc w:val="left"/>
              <w:rPr>
                <w:rFonts w:ascii="Calibri" w:hAnsi="Calibri"/>
                <w:color w:val="000000"/>
                <w:sz w:val="22"/>
                <w:szCs w:val="22"/>
              </w:rPr>
            </w:pPr>
          </w:p>
        </w:tc>
        <w:tc>
          <w:tcPr>
            <w:tcW w:w="337" w:type="pct"/>
            <w:tcBorders>
              <w:top w:val="nil"/>
              <w:left w:val="nil"/>
              <w:bottom w:val="nil"/>
              <w:right w:val="nil"/>
            </w:tcBorders>
            <w:shd w:val="clear" w:color="auto" w:fill="auto"/>
            <w:noWrap/>
            <w:hideMark/>
          </w:tcPr>
          <w:p w14:paraId="79C858DE"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16064253"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092B1F6E"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5661780E"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4479AA8"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7A051C9C"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312776FF"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520CE4E2"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497799CD" w14:textId="77777777" w:rsidTr="00F678F7">
        <w:trPr>
          <w:gridAfter w:val="3"/>
          <w:wAfter w:w="1195" w:type="pct"/>
          <w:trHeight w:val="870"/>
        </w:trPr>
        <w:tc>
          <w:tcPr>
            <w:tcW w:w="352" w:type="pct"/>
            <w:gridSpan w:val="2"/>
            <w:tcBorders>
              <w:top w:val="nil"/>
              <w:left w:val="nil"/>
              <w:bottom w:val="nil"/>
              <w:right w:val="nil"/>
            </w:tcBorders>
            <w:shd w:val="clear" w:color="auto" w:fill="auto"/>
            <w:noWrap/>
            <w:hideMark/>
          </w:tcPr>
          <w:p w14:paraId="79DCEAA8"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3.12</w:t>
            </w:r>
          </w:p>
        </w:tc>
        <w:tc>
          <w:tcPr>
            <w:tcW w:w="535" w:type="pct"/>
            <w:tcBorders>
              <w:top w:val="nil"/>
              <w:left w:val="nil"/>
              <w:bottom w:val="nil"/>
              <w:right w:val="nil"/>
            </w:tcBorders>
            <w:shd w:val="clear" w:color="auto" w:fill="auto"/>
            <w:noWrap/>
            <w:hideMark/>
          </w:tcPr>
          <w:p w14:paraId="2B231A08"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Accounts Payable</w:t>
            </w:r>
          </w:p>
        </w:tc>
        <w:tc>
          <w:tcPr>
            <w:tcW w:w="1819" w:type="pct"/>
            <w:gridSpan w:val="8"/>
            <w:tcBorders>
              <w:top w:val="nil"/>
              <w:left w:val="nil"/>
              <w:bottom w:val="nil"/>
              <w:right w:val="nil"/>
            </w:tcBorders>
            <w:shd w:val="clear" w:color="auto" w:fill="auto"/>
          </w:tcPr>
          <w:p w14:paraId="7CAA6711" w14:textId="4ABB0238" w:rsidR="0009389A" w:rsidRPr="003F7CB9" w:rsidRDefault="000B0350" w:rsidP="0009389A">
            <w:pPr>
              <w:spacing w:before="0"/>
              <w:ind w:right="-58"/>
              <w:jc w:val="left"/>
              <w:rPr>
                <w:rFonts w:ascii="Calibri" w:hAnsi="Calibri"/>
                <w:color w:val="000000"/>
                <w:sz w:val="22"/>
                <w:szCs w:val="22"/>
                <w:highlight w:val="yellow"/>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3040DFED"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3DB5E8A" w14:textId="72CF86D7" w:rsidR="0009389A" w:rsidRPr="004A5F44" w:rsidRDefault="0009389A" w:rsidP="006E5F5C">
            <w:pPr>
              <w:spacing w:before="0" w:after="0"/>
              <w:ind w:right="-52"/>
              <w:contextualSpacing/>
              <w:jc w:val="left"/>
              <w:rPr>
                <w:rFonts w:ascii="Calibri" w:hAnsi="Calibri"/>
                <w:color w:val="000000"/>
                <w:sz w:val="22"/>
                <w:szCs w:val="22"/>
              </w:rPr>
            </w:pPr>
            <w:r>
              <w:rPr>
                <w:rFonts w:ascii="Calibri" w:hAnsi="Calibri"/>
                <w:color w:val="000000"/>
                <w:sz w:val="22"/>
                <w:szCs w:val="22"/>
              </w:rPr>
              <w:t>James Torbert</w:t>
            </w:r>
          </w:p>
        </w:tc>
        <w:tc>
          <w:tcPr>
            <w:tcW w:w="84" w:type="pct"/>
            <w:tcBorders>
              <w:top w:val="nil"/>
              <w:left w:val="nil"/>
              <w:bottom w:val="nil"/>
              <w:right w:val="nil"/>
            </w:tcBorders>
            <w:shd w:val="clear" w:color="auto" w:fill="auto"/>
            <w:noWrap/>
            <w:hideMark/>
          </w:tcPr>
          <w:p w14:paraId="51C6ACFF"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4DE79CCF" w14:textId="3AE496C8"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Pr>
                <w:rFonts w:ascii="Calibri" w:hAnsi="Calibri"/>
                <w:color w:val="000000"/>
                <w:sz w:val="22"/>
                <w:szCs w:val="22"/>
              </w:rPr>
              <w:t>4178</w:t>
            </w:r>
          </w:p>
        </w:tc>
      </w:tr>
      <w:tr w:rsidR="0009389A" w:rsidRPr="004A5F44" w14:paraId="77AA55FE"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0C5416D5"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3.13</w:t>
            </w:r>
          </w:p>
        </w:tc>
        <w:tc>
          <w:tcPr>
            <w:tcW w:w="535" w:type="pct"/>
            <w:tcBorders>
              <w:top w:val="nil"/>
              <w:left w:val="nil"/>
              <w:bottom w:val="nil"/>
              <w:right w:val="nil"/>
            </w:tcBorders>
            <w:shd w:val="clear" w:color="auto" w:fill="auto"/>
            <w:noWrap/>
            <w:hideMark/>
          </w:tcPr>
          <w:p w14:paraId="10FC9630"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Litigation</w:t>
            </w:r>
          </w:p>
        </w:tc>
        <w:tc>
          <w:tcPr>
            <w:tcW w:w="1718" w:type="pct"/>
            <w:gridSpan w:val="7"/>
            <w:tcBorders>
              <w:top w:val="nil"/>
              <w:left w:val="nil"/>
              <w:bottom w:val="nil"/>
              <w:right w:val="nil"/>
            </w:tcBorders>
            <w:shd w:val="clear" w:color="auto" w:fill="auto"/>
            <w:noWrap/>
          </w:tcPr>
          <w:p w14:paraId="451A7ABE" w14:textId="09864AFE" w:rsidR="0009389A" w:rsidRPr="004E156C" w:rsidRDefault="004E156C" w:rsidP="0009389A">
            <w:pPr>
              <w:spacing w:before="0" w:after="0"/>
              <w:ind w:right="-52"/>
              <w:jc w:val="left"/>
              <w:rPr>
                <w:rFonts w:ascii="Calibri" w:hAnsi="Calibri"/>
                <w:color w:val="000000"/>
                <w:sz w:val="22"/>
                <w:szCs w:val="22"/>
                <w:highlight w:val="yellow"/>
              </w:rPr>
            </w:pPr>
            <w:r>
              <w:rPr>
                <w:rFonts w:ascii="Calibri" w:hAnsi="Calibri"/>
                <w:color w:val="000000"/>
                <w:sz w:val="22"/>
                <w:szCs w:val="22"/>
              </w:rPr>
              <w:t>No changes.</w:t>
            </w:r>
          </w:p>
        </w:tc>
        <w:tc>
          <w:tcPr>
            <w:tcW w:w="101" w:type="pct"/>
            <w:tcBorders>
              <w:top w:val="nil"/>
              <w:left w:val="nil"/>
              <w:bottom w:val="nil"/>
              <w:right w:val="nil"/>
            </w:tcBorders>
            <w:shd w:val="clear" w:color="auto" w:fill="auto"/>
            <w:noWrap/>
            <w:hideMark/>
          </w:tcPr>
          <w:p w14:paraId="23E3938E"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CA081D4"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64A19AA6" w14:textId="43141625" w:rsidR="0009389A"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Linda McCarty</w:t>
            </w:r>
          </w:p>
        </w:tc>
        <w:tc>
          <w:tcPr>
            <w:tcW w:w="84" w:type="pct"/>
            <w:tcBorders>
              <w:top w:val="nil"/>
              <w:left w:val="nil"/>
              <w:bottom w:val="nil"/>
              <w:right w:val="nil"/>
            </w:tcBorders>
            <w:shd w:val="clear" w:color="auto" w:fill="auto"/>
            <w:noWrap/>
            <w:hideMark/>
          </w:tcPr>
          <w:p w14:paraId="26B6BD3B"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4B863BA0" w14:textId="6EFD6821"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5164</w:t>
            </w:r>
          </w:p>
        </w:tc>
      </w:tr>
      <w:tr w:rsidR="0009389A" w:rsidRPr="004A5F44" w14:paraId="09FC3AC5"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5CB1EE8D"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31198C09"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tcPr>
          <w:p w14:paraId="3C1E15ED"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noWrap/>
            <w:hideMark/>
          </w:tcPr>
          <w:p w14:paraId="693C0B13"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hideMark/>
          </w:tcPr>
          <w:p w14:paraId="3F81B9E9"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tcPr>
          <w:p w14:paraId="6EC5E999"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399F7723"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35AA4A90"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0FB4FC6"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24305A7D"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E0C350A"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55BB359"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17EDAD65" w14:textId="77777777" w:rsidTr="00F678F7">
        <w:trPr>
          <w:gridAfter w:val="3"/>
          <w:wAfter w:w="1195" w:type="pct"/>
          <w:trHeight w:val="563"/>
        </w:trPr>
        <w:tc>
          <w:tcPr>
            <w:tcW w:w="352" w:type="pct"/>
            <w:gridSpan w:val="2"/>
            <w:tcBorders>
              <w:top w:val="nil"/>
              <w:left w:val="nil"/>
              <w:bottom w:val="nil"/>
              <w:right w:val="nil"/>
            </w:tcBorders>
            <w:shd w:val="clear" w:color="auto" w:fill="auto"/>
            <w:noWrap/>
            <w:hideMark/>
          </w:tcPr>
          <w:p w14:paraId="2C675E73"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3.14</w:t>
            </w:r>
          </w:p>
        </w:tc>
        <w:tc>
          <w:tcPr>
            <w:tcW w:w="535" w:type="pct"/>
            <w:tcBorders>
              <w:top w:val="nil"/>
              <w:left w:val="nil"/>
              <w:bottom w:val="nil"/>
              <w:right w:val="nil"/>
            </w:tcBorders>
            <w:shd w:val="clear" w:color="auto" w:fill="auto"/>
            <w:noWrap/>
            <w:hideMark/>
          </w:tcPr>
          <w:p w14:paraId="149F352D" w14:textId="77777777" w:rsidR="0009389A" w:rsidRPr="004A5F44" w:rsidRDefault="0009389A" w:rsidP="0009389A">
            <w:pPr>
              <w:spacing w:before="0" w:after="0"/>
              <w:ind w:right="-52"/>
              <w:jc w:val="left"/>
              <w:rPr>
                <w:rFonts w:ascii="Calibri" w:hAnsi="Calibri"/>
                <w:color w:val="000000"/>
                <w:sz w:val="22"/>
                <w:szCs w:val="22"/>
              </w:rPr>
            </w:pPr>
            <w:r>
              <w:rPr>
                <w:rFonts w:ascii="Calibri" w:hAnsi="Calibri"/>
                <w:color w:val="000000"/>
                <w:sz w:val="22"/>
                <w:szCs w:val="22"/>
              </w:rPr>
              <w:t xml:space="preserve">Disallowances and </w:t>
            </w:r>
            <w:r w:rsidRPr="004A5F44">
              <w:rPr>
                <w:rFonts w:ascii="Calibri" w:hAnsi="Calibri"/>
                <w:color w:val="000000"/>
                <w:sz w:val="22"/>
                <w:szCs w:val="22"/>
              </w:rPr>
              <w:t>Penalties</w:t>
            </w:r>
          </w:p>
        </w:tc>
        <w:tc>
          <w:tcPr>
            <w:tcW w:w="1819" w:type="pct"/>
            <w:gridSpan w:val="8"/>
            <w:tcBorders>
              <w:top w:val="nil"/>
              <w:left w:val="nil"/>
              <w:bottom w:val="nil"/>
              <w:right w:val="nil"/>
            </w:tcBorders>
            <w:shd w:val="clear" w:color="auto" w:fill="auto"/>
          </w:tcPr>
          <w:p w14:paraId="3AC7B931" w14:textId="52094EDE" w:rsidR="0009389A" w:rsidRPr="00E151B0" w:rsidRDefault="000B0350" w:rsidP="0009389A">
            <w:pPr>
              <w:spacing w:before="0"/>
              <w:ind w:right="-58"/>
              <w:jc w:val="left"/>
              <w:rPr>
                <w:rFonts w:ascii="Calibri" w:hAnsi="Calibri"/>
                <w:color w:val="000000"/>
                <w:sz w:val="22"/>
                <w:szCs w:val="22"/>
                <w:highlight w:val="yellow"/>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1B186F56"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1373E440" w14:textId="383C6351" w:rsidR="0009389A" w:rsidRPr="004A5F44" w:rsidRDefault="00FF2DA2" w:rsidP="006E5F5C">
            <w:pPr>
              <w:spacing w:before="0" w:after="0"/>
              <w:ind w:right="-52"/>
              <w:contextualSpacing/>
              <w:jc w:val="left"/>
              <w:rPr>
                <w:rFonts w:ascii="Calibri" w:hAnsi="Calibri"/>
                <w:color w:val="000000"/>
                <w:sz w:val="22"/>
                <w:szCs w:val="22"/>
              </w:rPr>
            </w:pPr>
            <w:r w:rsidRPr="00376434">
              <w:rPr>
                <w:rFonts w:ascii="Calibri" w:hAnsi="Calibri"/>
                <w:color w:val="000000"/>
                <w:sz w:val="22"/>
                <w:szCs w:val="22"/>
              </w:rPr>
              <w:t>Layla Ballard-Sholly</w:t>
            </w:r>
          </w:p>
        </w:tc>
        <w:tc>
          <w:tcPr>
            <w:tcW w:w="84" w:type="pct"/>
            <w:tcBorders>
              <w:top w:val="nil"/>
              <w:left w:val="nil"/>
              <w:bottom w:val="nil"/>
              <w:right w:val="nil"/>
            </w:tcBorders>
            <w:shd w:val="clear" w:color="auto" w:fill="auto"/>
            <w:noWrap/>
            <w:hideMark/>
          </w:tcPr>
          <w:p w14:paraId="600832F4"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3597B453"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Pr>
                <w:rFonts w:ascii="Calibri" w:hAnsi="Calibri"/>
                <w:color w:val="000000"/>
                <w:sz w:val="22"/>
                <w:szCs w:val="22"/>
              </w:rPr>
              <w:t>0272</w:t>
            </w:r>
          </w:p>
        </w:tc>
      </w:tr>
      <w:tr w:rsidR="0009389A" w:rsidRPr="004A5F44" w14:paraId="36203159"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1421BBFC"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6D35602D"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tcPr>
          <w:p w14:paraId="33B78FF1"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noWrap/>
            <w:hideMark/>
          </w:tcPr>
          <w:p w14:paraId="2419D21D"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hideMark/>
          </w:tcPr>
          <w:p w14:paraId="0D9E79E8"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13B764D1"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7DA36DDA"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01BA52CA"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406B5F8"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707FD9D6"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3D4E96A"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4A0B7F51"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61C96663"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0C1204E4"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3.15</w:t>
            </w:r>
          </w:p>
        </w:tc>
        <w:tc>
          <w:tcPr>
            <w:tcW w:w="535" w:type="pct"/>
            <w:tcBorders>
              <w:top w:val="nil"/>
              <w:left w:val="nil"/>
              <w:bottom w:val="nil"/>
              <w:right w:val="nil"/>
            </w:tcBorders>
            <w:shd w:val="clear" w:color="auto" w:fill="auto"/>
            <w:noWrap/>
            <w:hideMark/>
          </w:tcPr>
          <w:p w14:paraId="2A526556"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Claims</w:t>
            </w:r>
          </w:p>
        </w:tc>
        <w:tc>
          <w:tcPr>
            <w:tcW w:w="774" w:type="pct"/>
            <w:gridSpan w:val="2"/>
            <w:tcBorders>
              <w:top w:val="nil"/>
              <w:left w:val="nil"/>
              <w:bottom w:val="nil"/>
              <w:right w:val="nil"/>
            </w:tcBorders>
            <w:shd w:val="clear" w:color="auto" w:fill="auto"/>
            <w:noWrap/>
          </w:tcPr>
          <w:p w14:paraId="36066B29" w14:textId="512C9A90" w:rsidR="0009389A" w:rsidRPr="00E151B0" w:rsidRDefault="000B0350" w:rsidP="0009389A">
            <w:pPr>
              <w:spacing w:before="0" w:after="0"/>
              <w:ind w:right="-52"/>
              <w:jc w:val="left"/>
              <w:rPr>
                <w:rFonts w:ascii="Calibri" w:hAnsi="Calibri"/>
                <w:color w:val="000000"/>
                <w:sz w:val="22"/>
                <w:szCs w:val="22"/>
                <w:highlight w:val="yellow"/>
              </w:rPr>
            </w:pPr>
            <w:r>
              <w:rPr>
                <w:rFonts w:ascii="Calibri" w:hAnsi="Calibri"/>
                <w:color w:val="000000"/>
                <w:sz w:val="22"/>
                <w:szCs w:val="22"/>
              </w:rPr>
              <w:t>Must be completed in Workiva.</w:t>
            </w:r>
          </w:p>
        </w:tc>
        <w:tc>
          <w:tcPr>
            <w:tcW w:w="337" w:type="pct"/>
            <w:tcBorders>
              <w:top w:val="nil"/>
              <w:left w:val="nil"/>
              <w:bottom w:val="nil"/>
              <w:right w:val="nil"/>
            </w:tcBorders>
            <w:shd w:val="clear" w:color="auto" w:fill="auto"/>
            <w:noWrap/>
            <w:hideMark/>
          </w:tcPr>
          <w:p w14:paraId="2F49D259"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3E175AA0"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20FC921B"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147DD174"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39D91918"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58A49245" w14:textId="5853DD0E" w:rsidR="0009389A"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Katherine Kip</w:t>
            </w:r>
          </w:p>
        </w:tc>
        <w:tc>
          <w:tcPr>
            <w:tcW w:w="84" w:type="pct"/>
            <w:tcBorders>
              <w:top w:val="nil"/>
              <w:left w:val="nil"/>
              <w:bottom w:val="nil"/>
              <w:right w:val="nil"/>
            </w:tcBorders>
            <w:shd w:val="clear" w:color="auto" w:fill="auto"/>
            <w:noWrap/>
            <w:hideMark/>
          </w:tcPr>
          <w:p w14:paraId="3C8C5821"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F1DB583" w14:textId="604106F9"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5043</w:t>
            </w:r>
          </w:p>
        </w:tc>
      </w:tr>
      <w:tr w:rsidR="0009389A" w:rsidRPr="004A5F44" w14:paraId="244860DF"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0669D14A"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248EB7E3"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tcPr>
          <w:p w14:paraId="12313531"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noWrap/>
            <w:hideMark/>
          </w:tcPr>
          <w:p w14:paraId="04D25559"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hideMark/>
          </w:tcPr>
          <w:p w14:paraId="1420E1D2"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4C83E864"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7B771985"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231AF150"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5BA8566A"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6407FDDE"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21A313ED"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840429E"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399D3081"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07B90AB4"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3.16</w:t>
            </w:r>
          </w:p>
        </w:tc>
        <w:tc>
          <w:tcPr>
            <w:tcW w:w="535" w:type="pct"/>
            <w:tcBorders>
              <w:top w:val="nil"/>
              <w:left w:val="nil"/>
              <w:bottom w:val="nil"/>
              <w:right w:val="nil"/>
            </w:tcBorders>
            <w:shd w:val="clear" w:color="auto" w:fill="auto"/>
            <w:noWrap/>
            <w:hideMark/>
          </w:tcPr>
          <w:p w14:paraId="60DC5E00" w14:textId="042D8A01" w:rsidR="0009389A" w:rsidRPr="004A5F44" w:rsidRDefault="0009389A" w:rsidP="0009389A">
            <w:pPr>
              <w:spacing w:before="0" w:after="0"/>
              <w:ind w:right="-52"/>
              <w:jc w:val="left"/>
              <w:rPr>
                <w:rFonts w:ascii="Calibri" w:hAnsi="Calibri"/>
                <w:color w:val="000000"/>
                <w:sz w:val="22"/>
                <w:szCs w:val="22"/>
              </w:rPr>
            </w:pPr>
            <w:proofErr w:type="spellStart"/>
            <w:r w:rsidRPr="004A5F44">
              <w:rPr>
                <w:rFonts w:ascii="Calibri" w:hAnsi="Calibri"/>
                <w:color w:val="000000"/>
                <w:sz w:val="22"/>
                <w:szCs w:val="22"/>
              </w:rPr>
              <w:t>Misc</w:t>
            </w:r>
            <w:proofErr w:type="spellEnd"/>
            <w:r w:rsidRPr="004A5F44">
              <w:rPr>
                <w:rFonts w:ascii="Calibri" w:hAnsi="Calibri"/>
                <w:color w:val="000000"/>
                <w:sz w:val="22"/>
                <w:szCs w:val="22"/>
              </w:rPr>
              <w:t xml:space="preserve"> Loss Liability/</w:t>
            </w:r>
            <w:r>
              <w:rPr>
                <w:rFonts w:ascii="Calibri" w:hAnsi="Calibri"/>
                <w:color w:val="000000"/>
                <w:sz w:val="22"/>
                <w:szCs w:val="22"/>
              </w:rPr>
              <w:t xml:space="preserve"> </w:t>
            </w:r>
            <w:r w:rsidRPr="004A5F44">
              <w:rPr>
                <w:rFonts w:ascii="Calibri" w:hAnsi="Calibri"/>
                <w:color w:val="000000"/>
                <w:sz w:val="22"/>
                <w:szCs w:val="22"/>
              </w:rPr>
              <w:t>Significant Commitment</w:t>
            </w:r>
          </w:p>
        </w:tc>
        <w:tc>
          <w:tcPr>
            <w:tcW w:w="774" w:type="pct"/>
            <w:gridSpan w:val="2"/>
            <w:tcBorders>
              <w:top w:val="nil"/>
              <w:left w:val="nil"/>
              <w:bottom w:val="nil"/>
              <w:right w:val="nil"/>
            </w:tcBorders>
            <w:shd w:val="clear" w:color="auto" w:fill="auto"/>
            <w:noWrap/>
          </w:tcPr>
          <w:p w14:paraId="010F1233" w14:textId="3A9F0FC4" w:rsidR="0009389A" w:rsidRPr="00E151B0" w:rsidRDefault="000B0350" w:rsidP="0009389A">
            <w:pPr>
              <w:spacing w:before="0" w:after="0"/>
              <w:ind w:right="-52"/>
              <w:jc w:val="left"/>
              <w:rPr>
                <w:rFonts w:ascii="Calibri" w:hAnsi="Calibri"/>
                <w:color w:val="000000"/>
                <w:sz w:val="22"/>
                <w:szCs w:val="22"/>
                <w:highlight w:val="yellow"/>
              </w:rPr>
            </w:pPr>
            <w:r>
              <w:rPr>
                <w:rFonts w:ascii="Calibri" w:hAnsi="Calibri"/>
                <w:color w:val="000000"/>
                <w:sz w:val="22"/>
                <w:szCs w:val="22"/>
              </w:rPr>
              <w:t>Must be completed in Workiva.</w:t>
            </w:r>
            <w:r w:rsidR="004E156C">
              <w:rPr>
                <w:rFonts w:ascii="Calibri" w:hAnsi="Calibri"/>
                <w:color w:val="000000"/>
                <w:sz w:val="22"/>
                <w:szCs w:val="22"/>
              </w:rPr>
              <w:t xml:space="preserve"> </w:t>
            </w:r>
          </w:p>
        </w:tc>
        <w:tc>
          <w:tcPr>
            <w:tcW w:w="337" w:type="pct"/>
            <w:tcBorders>
              <w:top w:val="nil"/>
              <w:left w:val="nil"/>
              <w:bottom w:val="nil"/>
              <w:right w:val="nil"/>
            </w:tcBorders>
            <w:shd w:val="clear" w:color="auto" w:fill="auto"/>
            <w:noWrap/>
            <w:hideMark/>
          </w:tcPr>
          <w:p w14:paraId="3A39ED18"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5B497EE5"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2D95FFF1"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6E8897D7"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09360467"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7853891B" w14:textId="2C0FF989" w:rsidR="0009389A" w:rsidRPr="004A5F44" w:rsidRDefault="0026212D" w:rsidP="006E5F5C">
            <w:pPr>
              <w:spacing w:before="0" w:after="0"/>
              <w:ind w:right="-52"/>
              <w:contextualSpacing/>
              <w:jc w:val="left"/>
              <w:rPr>
                <w:rFonts w:ascii="Calibri" w:hAnsi="Calibri"/>
                <w:color w:val="000000"/>
                <w:sz w:val="22"/>
                <w:szCs w:val="22"/>
              </w:rPr>
            </w:pPr>
            <w:r>
              <w:rPr>
                <w:rFonts w:ascii="Calibri" w:hAnsi="Calibri"/>
                <w:color w:val="000000"/>
                <w:sz w:val="22"/>
                <w:szCs w:val="22"/>
              </w:rPr>
              <w:t>Sue Fisher</w:t>
            </w:r>
          </w:p>
        </w:tc>
        <w:tc>
          <w:tcPr>
            <w:tcW w:w="84" w:type="pct"/>
            <w:tcBorders>
              <w:top w:val="nil"/>
              <w:left w:val="nil"/>
              <w:bottom w:val="nil"/>
              <w:right w:val="nil"/>
            </w:tcBorders>
            <w:shd w:val="clear" w:color="auto" w:fill="auto"/>
            <w:noWrap/>
            <w:hideMark/>
          </w:tcPr>
          <w:p w14:paraId="37BFB8A9"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511BFBF1" w14:textId="7D4D12A0"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26212D" w:rsidRPr="00F10CFC">
              <w:rPr>
                <w:rFonts w:ascii="Calibri" w:hAnsi="Calibri"/>
                <w:color w:val="000000"/>
                <w:sz w:val="22"/>
                <w:szCs w:val="22"/>
              </w:rPr>
              <w:t>2132</w:t>
            </w:r>
          </w:p>
        </w:tc>
      </w:tr>
      <w:tr w:rsidR="0009389A" w:rsidRPr="004A5F44" w14:paraId="7E28C756"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5E5AAA8A"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574D5CA1"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tcPr>
          <w:p w14:paraId="4DE766ED"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69" w:type="pct"/>
            <w:tcBorders>
              <w:top w:val="nil"/>
              <w:left w:val="nil"/>
              <w:bottom w:val="nil"/>
              <w:right w:val="nil"/>
            </w:tcBorders>
            <w:shd w:val="clear" w:color="auto" w:fill="auto"/>
            <w:noWrap/>
            <w:hideMark/>
          </w:tcPr>
          <w:p w14:paraId="41647527"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hideMark/>
          </w:tcPr>
          <w:p w14:paraId="45EF37F4"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05425CDE"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5DF1603A"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10057806"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3CDA47AF"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1CFCE5AF"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2D042DA3"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4578F7F"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24399928"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7D742407"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3.17</w:t>
            </w:r>
          </w:p>
        </w:tc>
        <w:tc>
          <w:tcPr>
            <w:tcW w:w="535" w:type="pct"/>
            <w:tcBorders>
              <w:top w:val="nil"/>
              <w:left w:val="nil"/>
              <w:bottom w:val="nil"/>
              <w:right w:val="nil"/>
            </w:tcBorders>
            <w:shd w:val="clear" w:color="auto" w:fill="auto"/>
            <w:noWrap/>
            <w:hideMark/>
          </w:tcPr>
          <w:p w14:paraId="6B970F0F" w14:textId="77777777" w:rsidR="0009389A" w:rsidRPr="004A5F44" w:rsidRDefault="0009389A" w:rsidP="0009389A">
            <w:pPr>
              <w:spacing w:before="0" w:after="0"/>
              <w:ind w:right="-52"/>
              <w:jc w:val="left"/>
              <w:rPr>
                <w:rFonts w:ascii="Calibri" w:hAnsi="Calibri"/>
                <w:color w:val="000000"/>
                <w:sz w:val="22"/>
                <w:szCs w:val="22"/>
              </w:rPr>
            </w:pPr>
            <w:r>
              <w:rPr>
                <w:rFonts w:ascii="Calibri" w:hAnsi="Calibri"/>
                <w:color w:val="000000"/>
                <w:sz w:val="22"/>
                <w:szCs w:val="22"/>
              </w:rPr>
              <w:t>NOT CURRENTLY USED</w:t>
            </w:r>
          </w:p>
        </w:tc>
        <w:tc>
          <w:tcPr>
            <w:tcW w:w="774" w:type="pct"/>
            <w:gridSpan w:val="2"/>
            <w:tcBorders>
              <w:top w:val="nil"/>
              <w:left w:val="nil"/>
              <w:bottom w:val="nil"/>
              <w:right w:val="nil"/>
            </w:tcBorders>
            <w:shd w:val="clear" w:color="auto" w:fill="auto"/>
            <w:noWrap/>
            <w:hideMark/>
          </w:tcPr>
          <w:p w14:paraId="1D29AFA8" w14:textId="77777777" w:rsidR="0009389A" w:rsidRPr="007D43F4" w:rsidRDefault="0009389A" w:rsidP="0009389A">
            <w:pPr>
              <w:spacing w:before="0" w:after="0"/>
              <w:ind w:right="-52"/>
              <w:jc w:val="left"/>
              <w:rPr>
                <w:rFonts w:ascii="Calibri" w:hAnsi="Calibri"/>
                <w:color w:val="000000"/>
                <w:sz w:val="22"/>
                <w:szCs w:val="22"/>
              </w:rPr>
            </w:pPr>
          </w:p>
        </w:tc>
        <w:tc>
          <w:tcPr>
            <w:tcW w:w="337" w:type="pct"/>
            <w:tcBorders>
              <w:top w:val="nil"/>
              <w:left w:val="nil"/>
              <w:bottom w:val="nil"/>
              <w:right w:val="nil"/>
            </w:tcBorders>
            <w:shd w:val="clear" w:color="auto" w:fill="auto"/>
            <w:noWrap/>
            <w:hideMark/>
          </w:tcPr>
          <w:p w14:paraId="63448796"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5712713D"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798F12A4"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00CB037C"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075160BA"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57F86748"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6F9F24D6"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475508A6"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47942BA2"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50B546A2"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55638A0B"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hideMark/>
          </w:tcPr>
          <w:p w14:paraId="66B3B5FD" w14:textId="77777777" w:rsidR="0009389A" w:rsidRPr="004A5F44" w:rsidRDefault="0009389A" w:rsidP="0009389A">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hideMark/>
          </w:tcPr>
          <w:p w14:paraId="17599DA1" w14:textId="77777777" w:rsidR="0009389A" w:rsidRPr="004A5F44" w:rsidRDefault="0009389A" w:rsidP="0009389A">
            <w:pPr>
              <w:spacing w:before="0" w:after="0"/>
              <w:ind w:right="-52"/>
              <w:jc w:val="left"/>
              <w:rPr>
                <w:rFonts w:ascii="Calibri" w:hAnsi="Calibri"/>
                <w:color w:val="000000"/>
                <w:sz w:val="22"/>
                <w:szCs w:val="22"/>
              </w:rPr>
            </w:pPr>
          </w:p>
        </w:tc>
        <w:tc>
          <w:tcPr>
            <w:tcW w:w="337" w:type="pct"/>
            <w:tcBorders>
              <w:top w:val="nil"/>
              <w:left w:val="nil"/>
              <w:bottom w:val="nil"/>
              <w:right w:val="nil"/>
            </w:tcBorders>
            <w:shd w:val="clear" w:color="auto" w:fill="auto"/>
            <w:noWrap/>
            <w:hideMark/>
          </w:tcPr>
          <w:p w14:paraId="6400E07C" w14:textId="77777777" w:rsidR="0009389A" w:rsidRPr="004A5F44" w:rsidRDefault="0009389A" w:rsidP="0009389A">
            <w:pPr>
              <w:spacing w:before="0" w:after="0"/>
              <w:ind w:right="-52"/>
              <w:jc w:val="left"/>
              <w:rPr>
                <w:rFonts w:ascii="Calibri" w:hAnsi="Calibri"/>
                <w:color w:val="000000"/>
                <w:sz w:val="22"/>
                <w:szCs w:val="22"/>
              </w:rPr>
            </w:pPr>
          </w:p>
        </w:tc>
        <w:tc>
          <w:tcPr>
            <w:tcW w:w="314" w:type="pct"/>
            <w:gridSpan w:val="2"/>
            <w:tcBorders>
              <w:top w:val="nil"/>
              <w:left w:val="nil"/>
              <w:bottom w:val="nil"/>
              <w:right w:val="nil"/>
            </w:tcBorders>
            <w:shd w:val="clear" w:color="auto" w:fill="auto"/>
            <w:noWrap/>
            <w:hideMark/>
          </w:tcPr>
          <w:p w14:paraId="10B0DB54" w14:textId="77777777" w:rsidR="0009389A" w:rsidRPr="004A5F44" w:rsidRDefault="0009389A" w:rsidP="0009389A">
            <w:pPr>
              <w:spacing w:before="0" w:after="0"/>
              <w:ind w:right="-52"/>
              <w:jc w:val="left"/>
              <w:rPr>
                <w:rFonts w:ascii="Calibri" w:hAnsi="Calibri"/>
                <w:color w:val="000000"/>
                <w:sz w:val="22"/>
                <w:szCs w:val="22"/>
              </w:rPr>
            </w:pPr>
          </w:p>
        </w:tc>
        <w:tc>
          <w:tcPr>
            <w:tcW w:w="293" w:type="pct"/>
            <w:gridSpan w:val="2"/>
            <w:tcBorders>
              <w:top w:val="nil"/>
              <w:left w:val="nil"/>
              <w:bottom w:val="nil"/>
              <w:right w:val="nil"/>
            </w:tcBorders>
            <w:shd w:val="clear" w:color="auto" w:fill="auto"/>
            <w:noWrap/>
            <w:hideMark/>
          </w:tcPr>
          <w:p w14:paraId="6BDAD6AB"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456A3DF4"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17D79FC5"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6191225"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4AD9FD84"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27DF9642"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1103D68A" w14:textId="77777777" w:rsidTr="00F678F7">
        <w:trPr>
          <w:gridAfter w:val="3"/>
          <w:wAfter w:w="1195" w:type="pct"/>
          <w:trHeight w:val="563"/>
        </w:trPr>
        <w:tc>
          <w:tcPr>
            <w:tcW w:w="352" w:type="pct"/>
            <w:gridSpan w:val="2"/>
            <w:tcBorders>
              <w:top w:val="nil"/>
              <w:left w:val="nil"/>
              <w:bottom w:val="nil"/>
              <w:right w:val="nil"/>
            </w:tcBorders>
            <w:shd w:val="clear" w:color="auto" w:fill="auto"/>
            <w:noWrap/>
            <w:hideMark/>
          </w:tcPr>
          <w:p w14:paraId="1A5AAE89"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3.18</w:t>
            </w:r>
          </w:p>
        </w:tc>
        <w:tc>
          <w:tcPr>
            <w:tcW w:w="535" w:type="pct"/>
            <w:tcBorders>
              <w:top w:val="nil"/>
              <w:left w:val="nil"/>
              <w:bottom w:val="nil"/>
              <w:right w:val="nil"/>
            </w:tcBorders>
            <w:shd w:val="clear" w:color="auto" w:fill="auto"/>
            <w:noWrap/>
            <w:hideMark/>
          </w:tcPr>
          <w:p w14:paraId="23E67897"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Interfund Receivables/</w:t>
            </w:r>
            <w:r>
              <w:rPr>
                <w:rFonts w:ascii="Calibri" w:hAnsi="Calibri"/>
                <w:color w:val="000000"/>
                <w:sz w:val="22"/>
                <w:szCs w:val="22"/>
              </w:rPr>
              <w:t xml:space="preserve"> </w:t>
            </w:r>
            <w:r w:rsidRPr="004A5F44">
              <w:rPr>
                <w:rFonts w:ascii="Calibri" w:hAnsi="Calibri"/>
                <w:color w:val="000000"/>
                <w:sz w:val="22"/>
                <w:szCs w:val="22"/>
              </w:rPr>
              <w:t>Payables</w:t>
            </w:r>
          </w:p>
        </w:tc>
        <w:tc>
          <w:tcPr>
            <w:tcW w:w="1819" w:type="pct"/>
            <w:gridSpan w:val="8"/>
            <w:tcBorders>
              <w:top w:val="nil"/>
              <w:left w:val="nil"/>
              <w:bottom w:val="nil"/>
              <w:right w:val="nil"/>
            </w:tcBorders>
            <w:shd w:val="clear" w:color="auto" w:fill="auto"/>
            <w:hideMark/>
          </w:tcPr>
          <w:p w14:paraId="5BAD02E2" w14:textId="732EDE13" w:rsidR="0009389A" w:rsidRPr="00E151B0" w:rsidRDefault="000B0350" w:rsidP="0009389A">
            <w:pPr>
              <w:spacing w:before="0" w:after="0"/>
              <w:ind w:right="-52"/>
              <w:jc w:val="left"/>
              <w:rPr>
                <w:rFonts w:ascii="Calibri" w:hAnsi="Calibri"/>
                <w:color w:val="000000"/>
                <w:sz w:val="22"/>
                <w:szCs w:val="22"/>
                <w:highlight w:val="yellow"/>
              </w:rPr>
            </w:pPr>
            <w:r>
              <w:rPr>
                <w:rFonts w:ascii="Calibri" w:hAnsi="Calibri"/>
                <w:color w:val="000000"/>
                <w:sz w:val="22"/>
                <w:szCs w:val="22"/>
              </w:rPr>
              <w:t>Must be completed in Workiva.</w:t>
            </w:r>
          </w:p>
        </w:tc>
        <w:tc>
          <w:tcPr>
            <w:tcW w:w="84" w:type="pct"/>
            <w:tcBorders>
              <w:top w:val="nil"/>
              <w:left w:val="nil"/>
              <w:bottom w:val="nil"/>
              <w:right w:val="nil"/>
            </w:tcBorders>
            <w:shd w:val="clear" w:color="auto" w:fill="auto"/>
            <w:noWrap/>
            <w:hideMark/>
          </w:tcPr>
          <w:p w14:paraId="175483A0"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204A5DB4" w14:textId="3533510B" w:rsidR="0009389A" w:rsidRPr="004A5F44" w:rsidRDefault="00A34E1E" w:rsidP="006E5F5C">
            <w:pPr>
              <w:spacing w:before="0" w:after="0"/>
              <w:ind w:right="-52"/>
              <w:contextualSpacing/>
              <w:jc w:val="left"/>
              <w:rPr>
                <w:rFonts w:ascii="Calibri" w:hAnsi="Calibri"/>
                <w:color w:val="000000"/>
                <w:sz w:val="22"/>
                <w:szCs w:val="22"/>
              </w:rPr>
            </w:pPr>
            <w:r>
              <w:rPr>
                <w:rFonts w:ascii="Calibri" w:hAnsi="Calibri"/>
                <w:color w:val="000000"/>
                <w:sz w:val="22"/>
                <w:szCs w:val="22"/>
              </w:rPr>
              <w:t>Linda McCarty</w:t>
            </w:r>
          </w:p>
        </w:tc>
        <w:tc>
          <w:tcPr>
            <w:tcW w:w="84" w:type="pct"/>
            <w:tcBorders>
              <w:top w:val="nil"/>
              <w:left w:val="nil"/>
              <w:bottom w:val="nil"/>
              <w:right w:val="nil"/>
            </w:tcBorders>
            <w:shd w:val="clear" w:color="auto" w:fill="auto"/>
            <w:noWrap/>
            <w:hideMark/>
          </w:tcPr>
          <w:p w14:paraId="5FF98E4B"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3D4AD2A" w14:textId="0CB8D4C9"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A34E1E">
              <w:rPr>
                <w:rFonts w:ascii="Calibri" w:hAnsi="Calibri"/>
                <w:color w:val="000000"/>
                <w:sz w:val="22"/>
                <w:szCs w:val="22"/>
              </w:rPr>
              <w:t>5164</w:t>
            </w:r>
          </w:p>
        </w:tc>
      </w:tr>
      <w:tr w:rsidR="0009389A" w:rsidRPr="004A5F44" w14:paraId="4AFB5C24"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5B4A1B09"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44FC1D3C"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hideMark/>
          </w:tcPr>
          <w:p w14:paraId="16FA4F08" w14:textId="77777777" w:rsidR="0009389A" w:rsidRPr="004A5F44" w:rsidRDefault="0009389A" w:rsidP="0009389A">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hideMark/>
          </w:tcPr>
          <w:p w14:paraId="1BB69D48"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hideMark/>
          </w:tcPr>
          <w:p w14:paraId="47BC8F8C"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14" w:type="pct"/>
            <w:gridSpan w:val="2"/>
            <w:tcBorders>
              <w:top w:val="nil"/>
              <w:left w:val="nil"/>
              <w:bottom w:val="nil"/>
              <w:right w:val="nil"/>
            </w:tcBorders>
            <w:shd w:val="clear" w:color="auto" w:fill="auto"/>
            <w:hideMark/>
          </w:tcPr>
          <w:p w14:paraId="27DBD723"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293" w:type="pct"/>
            <w:gridSpan w:val="2"/>
            <w:tcBorders>
              <w:top w:val="nil"/>
              <w:left w:val="nil"/>
              <w:bottom w:val="nil"/>
              <w:right w:val="nil"/>
            </w:tcBorders>
            <w:shd w:val="clear" w:color="auto" w:fill="auto"/>
            <w:hideMark/>
          </w:tcPr>
          <w:p w14:paraId="37D9150F"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hideMark/>
          </w:tcPr>
          <w:p w14:paraId="1E09B4E5"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56D83DD"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0568AADA"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1B6F2086"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113F786B"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4B8928A6"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280A9E8E"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3.19</w:t>
            </w:r>
          </w:p>
        </w:tc>
        <w:tc>
          <w:tcPr>
            <w:tcW w:w="535" w:type="pct"/>
            <w:tcBorders>
              <w:top w:val="nil"/>
              <w:left w:val="nil"/>
              <w:bottom w:val="nil"/>
              <w:right w:val="nil"/>
            </w:tcBorders>
            <w:shd w:val="clear" w:color="auto" w:fill="auto"/>
            <w:noWrap/>
            <w:hideMark/>
          </w:tcPr>
          <w:p w14:paraId="3A718062"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NOT CURRENTLY USED</w:t>
            </w:r>
          </w:p>
        </w:tc>
        <w:tc>
          <w:tcPr>
            <w:tcW w:w="405" w:type="pct"/>
            <w:tcBorders>
              <w:top w:val="nil"/>
              <w:left w:val="nil"/>
              <w:bottom w:val="nil"/>
              <w:right w:val="nil"/>
            </w:tcBorders>
            <w:shd w:val="clear" w:color="auto" w:fill="auto"/>
            <w:noWrap/>
            <w:hideMark/>
          </w:tcPr>
          <w:p w14:paraId="2F56FE6D" w14:textId="77777777" w:rsidR="0009389A" w:rsidRPr="004A5F44" w:rsidRDefault="0009389A" w:rsidP="0009389A">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hideMark/>
          </w:tcPr>
          <w:p w14:paraId="376B78BC"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hideMark/>
          </w:tcPr>
          <w:p w14:paraId="310395AC"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14" w:type="pct"/>
            <w:gridSpan w:val="2"/>
            <w:tcBorders>
              <w:top w:val="nil"/>
              <w:left w:val="nil"/>
              <w:bottom w:val="nil"/>
              <w:right w:val="nil"/>
            </w:tcBorders>
            <w:shd w:val="clear" w:color="auto" w:fill="auto"/>
            <w:noWrap/>
            <w:hideMark/>
          </w:tcPr>
          <w:p w14:paraId="7191A4FF"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293" w:type="pct"/>
            <w:gridSpan w:val="2"/>
            <w:tcBorders>
              <w:top w:val="nil"/>
              <w:left w:val="nil"/>
              <w:bottom w:val="nil"/>
              <w:right w:val="nil"/>
            </w:tcBorders>
            <w:shd w:val="clear" w:color="auto" w:fill="auto"/>
            <w:noWrap/>
            <w:hideMark/>
          </w:tcPr>
          <w:p w14:paraId="7B73CFB5"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24F44360"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49C96DA6"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F8066D9"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0BF6821B"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0AE9EF2C"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542F4388" w14:textId="77777777" w:rsidTr="00F678F7">
        <w:trPr>
          <w:gridAfter w:val="3"/>
          <w:wAfter w:w="1195" w:type="pct"/>
          <w:trHeight w:val="210"/>
        </w:trPr>
        <w:tc>
          <w:tcPr>
            <w:tcW w:w="352" w:type="pct"/>
            <w:gridSpan w:val="2"/>
            <w:tcBorders>
              <w:top w:val="nil"/>
              <w:left w:val="nil"/>
              <w:bottom w:val="nil"/>
              <w:right w:val="nil"/>
            </w:tcBorders>
            <w:shd w:val="clear" w:color="auto" w:fill="auto"/>
            <w:noWrap/>
            <w:hideMark/>
          </w:tcPr>
          <w:p w14:paraId="67E954F3" w14:textId="77777777" w:rsidR="0009389A" w:rsidRPr="004A5F44" w:rsidRDefault="0009389A" w:rsidP="0009389A">
            <w:pPr>
              <w:spacing w:before="0" w:after="0"/>
              <w:ind w:right="-52"/>
              <w:jc w:val="left"/>
              <w:rPr>
                <w:rFonts w:ascii="Calibri" w:hAnsi="Calibri"/>
                <w:color w:val="000000"/>
                <w:sz w:val="22"/>
                <w:szCs w:val="22"/>
              </w:rPr>
            </w:pPr>
          </w:p>
        </w:tc>
        <w:tc>
          <w:tcPr>
            <w:tcW w:w="535" w:type="pct"/>
            <w:tcBorders>
              <w:top w:val="nil"/>
              <w:left w:val="nil"/>
              <w:bottom w:val="nil"/>
              <w:right w:val="nil"/>
            </w:tcBorders>
            <w:shd w:val="clear" w:color="auto" w:fill="auto"/>
            <w:noWrap/>
            <w:hideMark/>
          </w:tcPr>
          <w:p w14:paraId="7D6CD6A6" w14:textId="77777777" w:rsidR="0009389A" w:rsidRPr="004A5F44" w:rsidRDefault="0009389A" w:rsidP="0009389A">
            <w:pPr>
              <w:spacing w:before="0" w:after="0"/>
              <w:ind w:right="-52"/>
              <w:jc w:val="left"/>
              <w:rPr>
                <w:rFonts w:ascii="Calibri" w:hAnsi="Calibri"/>
                <w:color w:val="000000"/>
                <w:sz w:val="22"/>
                <w:szCs w:val="22"/>
              </w:rPr>
            </w:pPr>
          </w:p>
        </w:tc>
        <w:tc>
          <w:tcPr>
            <w:tcW w:w="405" w:type="pct"/>
            <w:tcBorders>
              <w:top w:val="nil"/>
              <w:left w:val="nil"/>
              <w:bottom w:val="nil"/>
              <w:right w:val="nil"/>
            </w:tcBorders>
            <w:shd w:val="clear" w:color="auto" w:fill="auto"/>
            <w:noWrap/>
          </w:tcPr>
          <w:p w14:paraId="53739F7B" w14:textId="77777777" w:rsidR="0009389A" w:rsidRPr="004A5F44" w:rsidRDefault="0009389A" w:rsidP="0009389A">
            <w:pPr>
              <w:spacing w:before="0" w:after="0"/>
              <w:ind w:right="-52"/>
              <w:jc w:val="left"/>
              <w:rPr>
                <w:rFonts w:ascii="Calibri" w:hAnsi="Calibri"/>
                <w:color w:val="000000"/>
                <w:sz w:val="22"/>
                <w:szCs w:val="22"/>
              </w:rPr>
            </w:pPr>
          </w:p>
        </w:tc>
        <w:tc>
          <w:tcPr>
            <w:tcW w:w="369" w:type="pct"/>
            <w:tcBorders>
              <w:top w:val="nil"/>
              <w:left w:val="nil"/>
              <w:bottom w:val="nil"/>
              <w:right w:val="nil"/>
            </w:tcBorders>
            <w:shd w:val="clear" w:color="auto" w:fill="auto"/>
            <w:noWrap/>
            <w:hideMark/>
          </w:tcPr>
          <w:p w14:paraId="15BA1138"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37" w:type="pct"/>
            <w:tcBorders>
              <w:top w:val="nil"/>
              <w:left w:val="nil"/>
              <w:bottom w:val="nil"/>
              <w:right w:val="nil"/>
            </w:tcBorders>
            <w:shd w:val="clear" w:color="auto" w:fill="auto"/>
            <w:noWrap/>
            <w:hideMark/>
          </w:tcPr>
          <w:p w14:paraId="1E335B86"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314" w:type="pct"/>
            <w:gridSpan w:val="2"/>
            <w:tcBorders>
              <w:top w:val="nil"/>
              <w:left w:val="nil"/>
              <w:bottom w:val="nil"/>
              <w:right w:val="nil"/>
            </w:tcBorders>
            <w:shd w:val="clear" w:color="auto" w:fill="auto"/>
            <w:noWrap/>
            <w:hideMark/>
          </w:tcPr>
          <w:p w14:paraId="334AF6C7" w14:textId="77777777" w:rsidR="0009389A" w:rsidRPr="00E151B0" w:rsidRDefault="0009389A" w:rsidP="0009389A">
            <w:pPr>
              <w:spacing w:before="0" w:after="0"/>
              <w:ind w:right="-52"/>
              <w:jc w:val="left"/>
              <w:rPr>
                <w:rFonts w:ascii="Calibri" w:hAnsi="Calibri"/>
                <w:color w:val="000000"/>
                <w:sz w:val="22"/>
                <w:szCs w:val="22"/>
                <w:highlight w:val="yellow"/>
              </w:rPr>
            </w:pPr>
          </w:p>
        </w:tc>
        <w:tc>
          <w:tcPr>
            <w:tcW w:w="293" w:type="pct"/>
            <w:gridSpan w:val="2"/>
            <w:tcBorders>
              <w:top w:val="nil"/>
              <w:left w:val="nil"/>
              <w:bottom w:val="nil"/>
              <w:right w:val="nil"/>
            </w:tcBorders>
            <w:shd w:val="clear" w:color="auto" w:fill="auto"/>
            <w:noWrap/>
            <w:hideMark/>
          </w:tcPr>
          <w:p w14:paraId="5DE9F4A0" w14:textId="77777777" w:rsidR="0009389A" w:rsidRPr="004A5F44" w:rsidRDefault="0009389A" w:rsidP="0009389A">
            <w:pPr>
              <w:spacing w:before="0" w:after="0"/>
              <w:ind w:right="-52"/>
              <w:jc w:val="left"/>
              <w:rPr>
                <w:rFonts w:ascii="Calibri" w:hAnsi="Calibri"/>
                <w:color w:val="000000"/>
                <w:sz w:val="22"/>
                <w:szCs w:val="22"/>
              </w:rPr>
            </w:pPr>
          </w:p>
        </w:tc>
        <w:tc>
          <w:tcPr>
            <w:tcW w:w="101" w:type="pct"/>
            <w:tcBorders>
              <w:top w:val="nil"/>
              <w:left w:val="nil"/>
              <w:bottom w:val="nil"/>
              <w:right w:val="nil"/>
            </w:tcBorders>
            <w:shd w:val="clear" w:color="auto" w:fill="auto"/>
            <w:noWrap/>
            <w:hideMark/>
          </w:tcPr>
          <w:p w14:paraId="735A9123" w14:textId="77777777" w:rsidR="0009389A" w:rsidRPr="004A5F44" w:rsidRDefault="0009389A" w:rsidP="0009389A">
            <w:pPr>
              <w:spacing w:before="0" w:after="0"/>
              <w:ind w:right="-52"/>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747EE4F2"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3221438" w14:textId="77777777" w:rsidR="0009389A" w:rsidRPr="004A5F44" w:rsidRDefault="0009389A" w:rsidP="006E5F5C">
            <w:pPr>
              <w:spacing w:before="0" w:after="0"/>
              <w:ind w:right="-52"/>
              <w:contextualSpacing/>
              <w:jc w:val="left"/>
              <w:rPr>
                <w:rFonts w:ascii="Calibri" w:hAnsi="Calibri"/>
                <w:color w:val="000000"/>
                <w:sz w:val="22"/>
                <w:szCs w:val="22"/>
              </w:rPr>
            </w:pPr>
          </w:p>
        </w:tc>
        <w:tc>
          <w:tcPr>
            <w:tcW w:w="84" w:type="pct"/>
            <w:tcBorders>
              <w:top w:val="nil"/>
              <w:left w:val="nil"/>
              <w:bottom w:val="nil"/>
              <w:right w:val="nil"/>
            </w:tcBorders>
            <w:shd w:val="clear" w:color="auto" w:fill="auto"/>
            <w:noWrap/>
            <w:hideMark/>
          </w:tcPr>
          <w:p w14:paraId="0D6E8F60"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657EFFFC" w14:textId="77777777" w:rsidR="0009389A" w:rsidRPr="004A5F44" w:rsidRDefault="0009389A" w:rsidP="0009389A">
            <w:pPr>
              <w:spacing w:before="0" w:after="0"/>
              <w:ind w:right="-52"/>
              <w:jc w:val="left"/>
              <w:rPr>
                <w:rFonts w:ascii="Calibri" w:hAnsi="Calibri"/>
                <w:color w:val="000000"/>
                <w:sz w:val="22"/>
                <w:szCs w:val="22"/>
              </w:rPr>
            </w:pPr>
          </w:p>
        </w:tc>
      </w:tr>
      <w:tr w:rsidR="0009389A" w:rsidRPr="004A5F44" w14:paraId="1CBE7E33" w14:textId="77777777" w:rsidTr="00F678F7">
        <w:trPr>
          <w:gridAfter w:val="3"/>
          <w:wAfter w:w="1195" w:type="pct"/>
          <w:trHeight w:val="300"/>
        </w:trPr>
        <w:tc>
          <w:tcPr>
            <w:tcW w:w="352" w:type="pct"/>
            <w:gridSpan w:val="2"/>
            <w:tcBorders>
              <w:top w:val="nil"/>
              <w:left w:val="nil"/>
              <w:bottom w:val="nil"/>
              <w:right w:val="nil"/>
            </w:tcBorders>
            <w:shd w:val="clear" w:color="auto" w:fill="auto"/>
            <w:noWrap/>
            <w:hideMark/>
          </w:tcPr>
          <w:p w14:paraId="343EA235" w14:textId="77777777"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3.2</w:t>
            </w:r>
            <w:r>
              <w:rPr>
                <w:rFonts w:ascii="Calibri" w:hAnsi="Calibri"/>
                <w:color w:val="000000"/>
                <w:sz w:val="22"/>
                <w:szCs w:val="22"/>
              </w:rPr>
              <w:t>0</w:t>
            </w:r>
            <w:r w:rsidRPr="004A5F44">
              <w:rPr>
                <w:rFonts w:ascii="Calibri" w:hAnsi="Calibri"/>
                <w:color w:val="000000"/>
                <w:sz w:val="22"/>
                <w:szCs w:val="22"/>
              </w:rPr>
              <w:t xml:space="preserve"> *</w:t>
            </w:r>
          </w:p>
        </w:tc>
        <w:tc>
          <w:tcPr>
            <w:tcW w:w="535" w:type="pct"/>
            <w:tcBorders>
              <w:top w:val="nil"/>
              <w:left w:val="nil"/>
              <w:bottom w:val="nil"/>
              <w:right w:val="nil"/>
            </w:tcBorders>
            <w:shd w:val="clear" w:color="auto" w:fill="auto"/>
            <w:noWrap/>
            <w:hideMark/>
          </w:tcPr>
          <w:p w14:paraId="61E19103" w14:textId="6779406C" w:rsidR="0009389A" w:rsidRPr="004A5F44" w:rsidRDefault="003E742B" w:rsidP="0009389A">
            <w:pPr>
              <w:spacing w:before="0" w:after="0"/>
              <w:ind w:right="-52"/>
              <w:jc w:val="left"/>
              <w:rPr>
                <w:rFonts w:ascii="Calibri" w:hAnsi="Calibri"/>
                <w:color w:val="000000"/>
                <w:sz w:val="22"/>
                <w:szCs w:val="22"/>
              </w:rPr>
            </w:pPr>
            <w:r>
              <w:rPr>
                <w:rFonts w:ascii="Calibri" w:hAnsi="Calibri"/>
                <w:color w:val="000000"/>
                <w:sz w:val="22"/>
                <w:szCs w:val="22"/>
              </w:rPr>
              <w:t xml:space="preserve">Governmental </w:t>
            </w:r>
            <w:r w:rsidR="0009389A" w:rsidRPr="004A5F44">
              <w:rPr>
                <w:rFonts w:ascii="Calibri" w:hAnsi="Calibri"/>
                <w:color w:val="000000"/>
                <w:sz w:val="22"/>
                <w:szCs w:val="22"/>
              </w:rPr>
              <w:t xml:space="preserve">Fund </w:t>
            </w:r>
            <w:r>
              <w:rPr>
                <w:rFonts w:ascii="Calibri" w:hAnsi="Calibri"/>
                <w:color w:val="000000"/>
                <w:sz w:val="22"/>
                <w:szCs w:val="22"/>
              </w:rPr>
              <w:t xml:space="preserve">Balance </w:t>
            </w:r>
            <w:r w:rsidR="0009389A">
              <w:rPr>
                <w:rFonts w:ascii="Calibri" w:hAnsi="Calibri"/>
                <w:color w:val="000000"/>
                <w:sz w:val="22"/>
                <w:szCs w:val="22"/>
              </w:rPr>
              <w:t>Classification</w:t>
            </w:r>
          </w:p>
        </w:tc>
        <w:tc>
          <w:tcPr>
            <w:tcW w:w="1819" w:type="pct"/>
            <w:gridSpan w:val="8"/>
            <w:tcBorders>
              <w:top w:val="nil"/>
              <w:left w:val="nil"/>
              <w:bottom w:val="nil"/>
              <w:right w:val="nil"/>
            </w:tcBorders>
            <w:hideMark/>
          </w:tcPr>
          <w:p w14:paraId="2584FE0D" w14:textId="3DEE7E8E" w:rsidR="0009389A" w:rsidRPr="004A5F44" w:rsidRDefault="000B0350" w:rsidP="0009389A">
            <w:pPr>
              <w:spacing w:before="0" w:after="0"/>
              <w:ind w:right="-52"/>
              <w:jc w:val="left"/>
              <w:rPr>
                <w:rFonts w:ascii="Calibri" w:hAnsi="Calibri"/>
                <w:color w:val="000000"/>
                <w:sz w:val="22"/>
                <w:szCs w:val="22"/>
              </w:rPr>
            </w:pPr>
            <w:r>
              <w:rPr>
                <w:rFonts w:ascii="Calibri" w:hAnsi="Calibri"/>
                <w:color w:val="000000"/>
                <w:sz w:val="22"/>
                <w:szCs w:val="22"/>
              </w:rPr>
              <w:t>Must be completed in Workiva.</w:t>
            </w:r>
            <w:r>
              <w:rPr>
                <w:rFonts w:ascii="Calibri" w:hAnsi="Calibri"/>
                <w:color w:val="000000"/>
                <w:sz w:val="22"/>
                <w:szCs w:val="22"/>
              </w:rPr>
              <w:t xml:space="preserve"> Refer to training materials for other changes made to the reporting package and policy.</w:t>
            </w:r>
            <w:r w:rsidR="00960E70">
              <w:rPr>
                <w:rFonts w:ascii="Calibri" w:hAnsi="Calibri"/>
                <w:color w:val="000000"/>
                <w:sz w:val="22"/>
                <w:szCs w:val="22"/>
              </w:rPr>
              <w:t xml:space="preserve"> </w:t>
            </w:r>
          </w:p>
        </w:tc>
        <w:tc>
          <w:tcPr>
            <w:tcW w:w="84" w:type="pct"/>
            <w:tcBorders>
              <w:top w:val="nil"/>
              <w:left w:val="nil"/>
              <w:bottom w:val="nil"/>
              <w:right w:val="nil"/>
            </w:tcBorders>
            <w:shd w:val="clear" w:color="auto" w:fill="auto"/>
            <w:noWrap/>
            <w:hideMark/>
          </w:tcPr>
          <w:p w14:paraId="7A130A04" w14:textId="77777777" w:rsidR="0009389A" w:rsidRPr="004A5F44" w:rsidRDefault="0009389A" w:rsidP="0009389A">
            <w:pPr>
              <w:spacing w:before="0" w:after="0"/>
              <w:ind w:right="-52"/>
              <w:jc w:val="left"/>
              <w:rPr>
                <w:rFonts w:ascii="Calibri" w:hAnsi="Calibri"/>
                <w:color w:val="000000"/>
                <w:sz w:val="22"/>
                <w:szCs w:val="22"/>
              </w:rPr>
            </w:pPr>
          </w:p>
        </w:tc>
        <w:tc>
          <w:tcPr>
            <w:tcW w:w="481" w:type="pct"/>
            <w:gridSpan w:val="2"/>
            <w:tcBorders>
              <w:top w:val="nil"/>
              <w:left w:val="nil"/>
              <w:bottom w:val="nil"/>
              <w:right w:val="nil"/>
            </w:tcBorders>
            <w:shd w:val="clear" w:color="auto" w:fill="auto"/>
            <w:noWrap/>
            <w:hideMark/>
          </w:tcPr>
          <w:p w14:paraId="47743EBA" w14:textId="758DE6C6" w:rsidR="0009389A" w:rsidRPr="004A5F44" w:rsidRDefault="006E5F5C" w:rsidP="006E5F5C">
            <w:pPr>
              <w:spacing w:before="0" w:after="0"/>
              <w:ind w:right="-52"/>
              <w:contextualSpacing/>
              <w:jc w:val="left"/>
              <w:rPr>
                <w:rFonts w:ascii="Calibri" w:hAnsi="Calibri"/>
                <w:color w:val="000000"/>
                <w:sz w:val="22"/>
                <w:szCs w:val="22"/>
              </w:rPr>
            </w:pPr>
            <w:r>
              <w:rPr>
                <w:rFonts w:ascii="Calibri" w:hAnsi="Calibri"/>
                <w:color w:val="000000"/>
                <w:sz w:val="22"/>
                <w:szCs w:val="22"/>
              </w:rPr>
              <w:t>Layla Ballard-Sholly</w:t>
            </w:r>
          </w:p>
        </w:tc>
        <w:tc>
          <w:tcPr>
            <w:tcW w:w="84" w:type="pct"/>
            <w:tcBorders>
              <w:top w:val="nil"/>
              <w:left w:val="nil"/>
              <w:bottom w:val="nil"/>
              <w:right w:val="nil"/>
            </w:tcBorders>
            <w:shd w:val="clear" w:color="auto" w:fill="auto"/>
            <w:noWrap/>
            <w:hideMark/>
          </w:tcPr>
          <w:p w14:paraId="51974866" w14:textId="77777777" w:rsidR="0009389A" w:rsidRPr="004A5F44" w:rsidRDefault="0009389A" w:rsidP="0009389A">
            <w:pPr>
              <w:spacing w:before="0" w:after="0"/>
              <w:ind w:right="-52"/>
              <w:jc w:val="left"/>
              <w:rPr>
                <w:rFonts w:ascii="Calibri" w:hAnsi="Calibri"/>
                <w:color w:val="000000"/>
                <w:sz w:val="22"/>
                <w:szCs w:val="22"/>
              </w:rPr>
            </w:pPr>
          </w:p>
        </w:tc>
        <w:tc>
          <w:tcPr>
            <w:tcW w:w="450" w:type="pct"/>
            <w:gridSpan w:val="3"/>
            <w:tcBorders>
              <w:top w:val="nil"/>
              <w:left w:val="nil"/>
              <w:bottom w:val="nil"/>
              <w:right w:val="nil"/>
            </w:tcBorders>
            <w:shd w:val="clear" w:color="auto" w:fill="auto"/>
            <w:noWrap/>
            <w:hideMark/>
          </w:tcPr>
          <w:p w14:paraId="33C1614C" w14:textId="1E62EB99" w:rsidR="0009389A" w:rsidRPr="004A5F44" w:rsidRDefault="0009389A" w:rsidP="0009389A">
            <w:pPr>
              <w:spacing w:before="0" w:after="0"/>
              <w:ind w:right="-52"/>
              <w:jc w:val="left"/>
              <w:rPr>
                <w:rFonts w:ascii="Calibri" w:hAnsi="Calibri"/>
                <w:color w:val="000000"/>
                <w:sz w:val="22"/>
                <w:szCs w:val="22"/>
              </w:rPr>
            </w:pPr>
            <w:r w:rsidRPr="004A5F44">
              <w:rPr>
                <w:rFonts w:ascii="Calibri" w:hAnsi="Calibri"/>
                <w:color w:val="000000"/>
                <w:sz w:val="22"/>
                <w:szCs w:val="22"/>
              </w:rPr>
              <w:t>803-734-</w:t>
            </w:r>
            <w:r w:rsidR="006E5F5C">
              <w:rPr>
                <w:rFonts w:ascii="Calibri" w:hAnsi="Calibri"/>
                <w:color w:val="000000"/>
                <w:sz w:val="22"/>
                <w:szCs w:val="22"/>
              </w:rPr>
              <w:t>0272</w:t>
            </w:r>
          </w:p>
        </w:tc>
      </w:tr>
      <w:tr w:rsidR="0009389A" w:rsidRPr="004A5F44" w14:paraId="32B8F3C9" w14:textId="77777777" w:rsidTr="0026212D">
        <w:trPr>
          <w:trHeight w:val="210"/>
        </w:trPr>
        <w:tc>
          <w:tcPr>
            <w:tcW w:w="244" w:type="pct"/>
            <w:tcBorders>
              <w:top w:val="nil"/>
              <w:left w:val="nil"/>
              <w:bottom w:val="nil"/>
              <w:right w:val="nil"/>
            </w:tcBorders>
            <w:shd w:val="clear" w:color="auto" w:fill="auto"/>
            <w:noWrap/>
            <w:vAlign w:val="bottom"/>
            <w:hideMark/>
          </w:tcPr>
          <w:p w14:paraId="7339C07D" w14:textId="77777777" w:rsidR="0009389A" w:rsidRPr="004A5F44" w:rsidRDefault="0009389A" w:rsidP="0009389A">
            <w:pPr>
              <w:spacing w:before="0" w:after="0"/>
              <w:jc w:val="left"/>
              <w:rPr>
                <w:rFonts w:ascii="Calibri" w:hAnsi="Calibri"/>
                <w:color w:val="000000"/>
                <w:sz w:val="22"/>
                <w:szCs w:val="22"/>
              </w:rPr>
            </w:pPr>
          </w:p>
        </w:tc>
        <w:tc>
          <w:tcPr>
            <w:tcW w:w="1417" w:type="pct"/>
            <w:gridSpan w:val="4"/>
            <w:tcBorders>
              <w:top w:val="nil"/>
              <w:left w:val="nil"/>
              <w:bottom w:val="nil"/>
              <w:right w:val="nil"/>
            </w:tcBorders>
            <w:shd w:val="clear" w:color="auto" w:fill="auto"/>
            <w:noWrap/>
            <w:vAlign w:val="bottom"/>
            <w:hideMark/>
          </w:tcPr>
          <w:p w14:paraId="099A5F98" w14:textId="77777777" w:rsidR="0009389A" w:rsidRPr="004A5F44" w:rsidRDefault="0009389A" w:rsidP="0009389A">
            <w:pPr>
              <w:spacing w:before="0" w:after="0"/>
              <w:jc w:val="left"/>
              <w:rPr>
                <w:rFonts w:ascii="Calibri" w:hAnsi="Calibri"/>
                <w:color w:val="000000"/>
                <w:sz w:val="22"/>
                <w:szCs w:val="22"/>
              </w:rPr>
            </w:pPr>
          </w:p>
        </w:tc>
        <w:tc>
          <w:tcPr>
            <w:tcW w:w="406" w:type="pct"/>
            <w:gridSpan w:val="2"/>
            <w:tcBorders>
              <w:top w:val="nil"/>
              <w:left w:val="nil"/>
              <w:bottom w:val="nil"/>
              <w:right w:val="nil"/>
            </w:tcBorders>
            <w:shd w:val="clear" w:color="auto" w:fill="auto"/>
            <w:noWrap/>
            <w:vAlign w:val="bottom"/>
            <w:hideMark/>
          </w:tcPr>
          <w:p w14:paraId="0251F827" w14:textId="77777777" w:rsidR="0009389A" w:rsidRPr="004A5F44" w:rsidRDefault="0009389A" w:rsidP="0009389A">
            <w:pPr>
              <w:spacing w:before="0" w:after="0"/>
              <w:jc w:val="left"/>
              <w:rPr>
                <w:rFonts w:ascii="Calibri" w:hAnsi="Calibri"/>
                <w:color w:val="000000"/>
                <w:sz w:val="22"/>
                <w:szCs w:val="22"/>
              </w:rPr>
            </w:pPr>
          </w:p>
        </w:tc>
        <w:tc>
          <w:tcPr>
            <w:tcW w:w="368" w:type="pct"/>
            <w:gridSpan w:val="2"/>
            <w:tcBorders>
              <w:top w:val="nil"/>
              <w:left w:val="nil"/>
              <w:bottom w:val="nil"/>
              <w:right w:val="nil"/>
            </w:tcBorders>
            <w:shd w:val="clear" w:color="auto" w:fill="auto"/>
            <w:noWrap/>
            <w:vAlign w:val="bottom"/>
            <w:hideMark/>
          </w:tcPr>
          <w:p w14:paraId="1DA9B0E9" w14:textId="77777777" w:rsidR="0009389A" w:rsidRPr="004A5F44" w:rsidRDefault="0009389A" w:rsidP="0009389A">
            <w:pPr>
              <w:spacing w:before="0" w:after="0"/>
              <w:jc w:val="left"/>
              <w:rPr>
                <w:rFonts w:ascii="Calibri" w:hAnsi="Calibri"/>
                <w:color w:val="000000"/>
                <w:sz w:val="22"/>
                <w:szCs w:val="22"/>
              </w:rPr>
            </w:pPr>
          </w:p>
        </w:tc>
        <w:tc>
          <w:tcPr>
            <w:tcW w:w="355" w:type="pct"/>
            <w:gridSpan w:val="3"/>
            <w:tcBorders>
              <w:top w:val="nil"/>
              <w:left w:val="nil"/>
              <w:bottom w:val="nil"/>
              <w:right w:val="nil"/>
            </w:tcBorders>
            <w:shd w:val="clear" w:color="auto" w:fill="auto"/>
            <w:noWrap/>
            <w:vAlign w:val="bottom"/>
            <w:hideMark/>
          </w:tcPr>
          <w:p w14:paraId="11F48BBA" w14:textId="77777777" w:rsidR="0009389A" w:rsidRPr="004A5F44" w:rsidRDefault="0009389A" w:rsidP="0009389A">
            <w:pPr>
              <w:spacing w:before="0" w:after="0"/>
              <w:jc w:val="left"/>
              <w:rPr>
                <w:rFonts w:ascii="Calibri" w:hAnsi="Calibri"/>
                <w:color w:val="000000"/>
                <w:sz w:val="22"/>
                <w:szCs w:val="22"/>
              </w:rPr>
            </w:pPr>
          </w:p>
        </w:tc>
        <w:tc>
          <w:tcPr>
            <w:tcW w:w="313" w:type="pct"/>
            <w:tcBorders>
              <w:top w:val="nil"/>
              <w:left w:val="nil"/>
              <w:bottom w:val="nil"/>
              <w:right w:val="nil"/>
            </w:tcBorders>
            <w:shd w:val="clear" w:color="auto" w:fill="auto"/>
            <w:noWrap/>
            <w:vAlign w:val="bottom"/>
            <w:hideMark/>
          </w:tcPr>
          <w:p w14:paraId="6DA12813" w14:textId="77777777" w:rsidR="0009389A" w:rsidRPr="004A5F44" w:rsidRDefault="0009389A" w:rsidP="006E5F5C">
            <w:pPr>
              <w:spacing w:before="0" w:after="0"/>
              <w:contextualSpacing/>
              <w:jc w:val="left"/>
              <w:rPr>
                <w:rFonts w:ascii="Calibri" w:hAnsi="Calibri"/>
                <w:color w:val="000000"/>
                <w:sz w:val="22"/>
                <w:szCs w:val="22"/>
              </w:rPr>
            </w:pPr>
          </w:p>
        </w:tc>
        <w:tc>
          <w:tcPr>
            <w:tcW w:w="297" w:type="pct"/>
            <w:gridSpan w:val="3"/>
            <w:tcBorders>
              <w:top w:val="nil"/>
              <w:left w:val="nil"/>
              <w:bottom w:val="nil"/>
              <w:right w:val="nil"/>
            </w:tcBorders>
            <w:shd w:val="clear" w:color="auto" w:fill="auto"/>
            <w:noWrap/>
            <w:vAlign w:val="bottom"/>
            <w:hideMark/>
          </w:tcPr>
          <w:p w14:paraId="5A8B4202" w14:textId="77777777" w:rsidR="0009389A" w:rsidRPr="004A5F44" w:rsidRDefault="0009389A" w:rsidP="006E5F5C">
            <w:pPr>
              <w:spacing w:before="0" w:after="0"/>
              <w:contextualSpacing/>
              <w:jc w:val="left"/>
              <w:rPr>
                <w:rFonts w:ascii="Calibri" w:hAnsi="Calibri"/>
                <w:color w:val="000000"/>
                <w:sz w:val="22"/>
                <w:szCs w:val="22"/>
              </w:rPr>
            </w:pPr>
          </w:p>
        </w:tc>
        <w:tc>
          <w:tcPr>
            <w:tcW w:w="279" w:type="pct"/>
            <w:tcBorders>
              <w:top w:val="nil"/>
              <w:left w:val="nil"/>
              <w:bottom w:val="nil"/>
              <w:right w:val="nil"/>
            </w:tcBorders>
            <w:shd w:val="clear" w:color="auto" w:fill="auto"/>
            <w:noWrap/>
            <w:vAlign w:val="bottom"/>
            <w:hideMark/>
          </w:tcPr>
          <w:p w14:paraId="2B703027" w14:textId="77777777" w:rsidR="0009389A" w:rsidRPr="004A5F44" w:rsidRDefault="0009389A" w:rsidP="0009389A">
            <w:pPr>
              <w:spacing w:before="0" w:after="0"/>
              <w:jc w:val="left"/>
              <w:rPr>
                <w:rFonts w:ascii="Calibri" w:hAnsi="Calibri"/>
                <w:color w:val="000000"/>
                <w:sz w:val="22"/>
                <w:szCs w:val="22"/>
              </w:rPr>
            </w:pPr>
          </w:p>
        </w:tc>
        <w:tc>
          <w:tcPr>
            <w:tcW w:w="126" w:type="pct"/>
            <w:tcBorders>
              <w:top w:val="nil"/>
              <w:left w:val="nil"/>
              <w:bottom w:val="nil"/>
              <w:right w:val="nil"/>
            </w:tcBorders>
            <w:shd w:val="clear" w:color="auto" w:fill="auto"/>
            <w:noWrap/>
            <w:vAlign w:val="bottom"/>
            <w:hideMark/>
          </w:tcPr>
          <w:p w14:paraId="09F41174" w14:textId="77777777" w:rsidR="0009389A" w:rsidRPr="004A5F44" w:rsidRDefault="0009389A" w:rsidP="0009389A">
            <w:pPr>
              <w:spacing w:before="0" w:after="0"/>
              <w:jc w:val="left"/>
              <w:rPr>
                <w:rFonts w:ascii="Calibri" w:hAnsi="Calibri"/>
                <w:color w:val="000000"/>
                <w:sz w:val="22"/>
                <w:szCs w:val="22"/>
              </w:rPr>
            </w:pPr>
          </w:p>
        </w:tc>
        <w:tc>
          <w:tcPr>
            <w:tcW w:w="598" w:type="pct"/>
            <w:tcBorders>
              <w:top w:val="nil"/>
              <w:left w:val="nil"/>
              <w:bottom w:val="nil"/>
              <w:right w:val="nil"/>
            </w:tcBorders>
            <w:shd w:val="clear" w:color="auto" w:fill="auto"/>
            <w:noWrap/>
            <w:vAlign w:val="bottom"/>
            <w:hideMark/>
          </w:tcPr>
          <w:p w14:paraId="734E34FA" w14:textId="77777777" w:rsidR="0009389A" w:rsidRPr="004A5F44" w:rsidRDefault="0009389A" w:rsidP="0009389A">
            <w:pPr>
              <w:spacing w:before="0" w:after="0"/>
              <w:jc w:val="left"/>
              <w:rPr>
                <w:rFonts w:ascii="Calibri" w:hAnsi="Calibri"/>
                <w:color w:val="000000"/>
                <w:sz w:val="22"/>
                <w:szCs w:val="22"/>
              </w:rPr>
            </w:pPr>
          </w:p>
        </w:tc>
        <w:tc>
          <w:tcPr>
            <w:tcW w:w="87" w:type="pct"/>
            <w:tcBorders>
              <w:top w:val="nil"/>
              <w:left w:val="nil"/>
              <w:bottom w:val="nil"/>
              <w:right w:val="nil"/>
            </w:tcBorders>
            <w:shd w:val="clear" w:color="auto" w:fill="auto"/>
            <w:noWrap/>
            <w:vAlign w:val="bottom"/>
            <w:hideMark/>
          </w:tcPr>
          <w:p w14:paraId="1A53509C" w14:textId="77777777" w:rsidR="0009389A" w:rsidRPr="004A5F44" w:rsidRDefault="0009389A" w:rsidP="0009389A">
            <w:pPr>
              <w:spacing w:before="0" w:after="0"/>
              <w:jc w:val="left"/>
              <w:rPr>
                <w:rFonts w:ascii="Calibri" w:hAnsi="Calibri"/>
                <w:color w:val="000000"/>
                <w:sz w:val="22"/>
                <w:szCs w:val="22"/>
              </w:rPr>
            </w:pPr>
          </w:p>
        </w:tc>
        <w:tc>
          <w:tcPr>
            <w:tcW w:w="510" w:type="pct"/>
            <w:tcBorders>
              <w:top w:val="nil"/>
              <w:left w:val="nil"/>
              <w:bottom w:val="nil"/>
              <w:right w:val="nil"/>
            </w:tcBorders>
            <w:shd w:val="clear" w:color="auto" w:fill="auto"/>
            <w:noWrap/>
            <w:vAlign w:val="bottom"/>
            <w:hideMark/>
          </w:tcPr>
          <w:p w14:paraId="094838D5" w14:textId="77777777" w:rsidR="0009389A" w:rsidRPr="004A5F44" w:rsidRDefault="0009389A" w:rsidP="0009389A">
            <w:pPr>
              <w:spacing w:before="0" w:after="0"/>
              <w:jc w:val="left"/>
              <w:rPr>
                <w:rFonts w:ascii="Calibri" w:hAnsi="Calibri"/>
                <w:color w:val="000000"/>
                <w:sz w:val="22"/>
                <w:szCs w:val="22"/>
              </w:rPr>
            </w:pPr>
          </w:p>
        </w:tc>
      </w:tr>
    </w:tbl>
    <w:p w14:paraId="1CF16FB7" w14:textId="763BFC28" w:rsidR="00313725" w:rsidRPr="000B0350" w:rsidRDefault="00313725" w:rsidP="00313725">
      <w:pPr>
        <w:spacing w:before="0" w:after="0"/>
        <w:contextualSpacing/>
        <w:jc w:val="left"/>
        <w:rPr>
          <w:rFonts w:ascii="Calibri" w:hAnsi="Calibri"/>
          <w:b/>
          <w:bCs/>
          <w:i/>
          <w:iCs/>
          <w:color w:val="000000"/>
          <w:sz w:val="22"/>
          <w:szCs w:val="22"/>
        </w:rPr>
      </w:pPr>
      <w:r w:rsidRPr="000B0350">
        <w:rPr>
          <w:rFonts w:ascii="Calibri" w:hAnsi="Calibri"/>
          <w:b/>
          <w:bCs/>
          <w:i/>
          <w:iCs/>
          <w:color w:val="000000"/>
          <w:sz w:val="22"/>
          <w:szCs w:val="22"/>
        </w:rPr>
        <w:t>* The following pack</w:t>
      </w:r>
      <w:r w:rsidR="00F678F7" w:rsidRPr="000B0350">
        <w:rPr>
          <w:rFonts w:ascii="Calibri" w:hAnsi="Calibri"/>
          <w:b/>
          <w:bCs/>
          <w:i/>
          <w:iCs/>
          <w:color w:val="000000"/>
          <w:sz w:val="22"/>
          <w:szCs w:val="22"/>
        </w:rPr>
        <w:t>age</w:t>
      </w:r>
      <w:r w:rsidRPr="000B0350">
        <w:rPr>
          <w:rFonts w:ascii="Calibri" w:hAnsi="Calibri"/>
          <w:b/>
          <w:bCs/>
          <w:i/>
          <w:iCs/>
          <w:color w:val="000000"/>
          <w:sz w:val="22"/>
          <w:szCs w:val="22"/>
        </w:rPr>
        <w:t xml:space="preserve">s will </w:t>
      </w:r>
      <w:r w:rsidR="000B0350" w:rsidRPr="000B0350">
        <w:rPr>
          <w:rFonts w:ascii="Calibri" w:hAnsi="Calibri"/>
          <w:b/>
          <w:bCs/>
          <w:i/>
          <w:iCs/>
          <w:color w:val="000000"/>
          <w:sz w:val="22"/>
          <w:szCs w:val="22"/>
        </w:rPr>
        <w:t>be prepopulated with</w:t>
      </w:r>
      <w:r w:rsidRPr="000B0350">
        <w:rPr>
          <w:rFonts w:ascii="Calibri" w:hAnsi="Calibri"/>
          <w:b/>
          <w:bCs/>
          <w:i/>
          <w:iCs/>
          <w:color w:val="000000"/>
          <w:sz w:val="22"/>
          <w:szCs w:val="22"/>
        </w:rPr>
        <w:t xml:space="preserve"> certain information already completed:   </w:t>
      </w:r>
    </w:p>
    <w:p w14:paraId="75577AD2" w14:textId="7DA38383" w:rsidR="00313725" w:rsidRPr="004E156C" w:rsidRDefault="00313725" w:rsidP="00313725">
      <w:pPr>
        <w:spacing w:before="0" w:after="0"/>
        <w:contextualSpacing/>
        <w:jc w:val="left"/>
        <w:rPr>
          <w:rFonts w:ascii="Calibri" w:hAnsi="Calibri"/>
          <w:b/>
          <w:bCs/>
          <w:i/>
          <w:iCs/>
          <w:color w:val="000000"/>
          <w:sz w:val="22"/>
          <w:szCs w:val="22"/>
        </w:rPr>
      </w:pPr>
      <w:r w:rsidRPr="004E156C">
        <w:rPr>
          <w:rFonts w:ascii="Calibri" w:hAnsi="Calibri"/>
          <w:b/>
          <w:bCs/>
          <w:i/>
          <w:iCs/>
          <w:color w:val="000000"/>
          <w:sz w:val="22"/>
          <w:szCs w:val="22"/>
        </w:rPr>
        <w:lastRenderedPageBreak/>
        <w:t xml:space="preserve"> 3.03- Grants Receivable- this pack</w:t>
      </w:r>
      <w:r w:rsidR="00F678F7" w:rsidRPr="004E156C">
        <w:rPr>
          <w:rFonts w:ascii="Calibri" w:hAnsi="Calibri"/>
          <w:b/>
          <w:bCs/>
          <w:i/>
          <w:iCs/>
          <w:color w:val="000000"/>
          <w:sz w:val="22"/>
          <w:szCs w:val="22"/>
        </w:rPr>
        <w:t>age</w:t>
      </w:r>
      <w:r w:rsidRPr="004E156C">
        <w:rPr>
          <w:rFonts w:ascii="Calibri" w:hAnsi="Calibri"/>
          <w:b/>
          <w:bCs/>
          <w:i/>
          <w:iCs/>
          <w:color w:val="000000"/>
          <w:sz w:val="22"/>
          <w:szCs w:val="22"/>
        </w:rPr>
        <w:t xml:space="preserve"> will have the grants from the </w:t>
      </w:r>
      <w:proofErr w:type="gramStart"/>
      <w:r w:rsidRPr="004E156C">
        <w:rPr>
          <w:rFonts w:ascii="Calibri" w:hAnsi="Calibri"/>
          <w:b/>
          <w:bCs/>
          <w:i/>
          <w:iCs/>
          <w:color w:val="000000"/>
          <w:sz w:val="22"/>
          <w:szCs w:val="22"/>
        </w:rPr>
        <w:t>PY</w:t>
      </w:r>
      <w:proofErr w:type="gramEnd"/>
      <w:r w:rsidRPr="004E156C">
        <w:rPr>
          <w:rFonts w:ascii="Calibri" w:hAnsi="Calibri"/>
          <w:b/>
          <w:bCs/>
          <w:i/>
          <w:iCs/>
          <w:color w:val="000000"/>
          <w:sz w:val="22"/>
          <w:szCs w:val="22"/>
        </w:rPr>
        <w:t xml:space="preserve"> and the Beginning fund balance completed </w:t>
      </w:r>
    </w:p>
    <w:p w14:paraId="380FC519" w14:textId="483EE96F" w:rsidR="00313725" w:rsidRPr="004E156C" w:rsidRDefault="00313725" w:rsidP="00313725">
      <w:pPr>
        <w:spacing w:before="0" w:after="0"/>
        <w:contextualSpacing/>
        <w:jc w:val="left"/>
        <w:rPr>
          <w:rFonts w:ascii="Calibri" w:hAnsi="Calibri"/>
          <w:b/>
          <w:bCs/>
          <w:i/>
          <w:iCs/>
          <w:color w:val="000000"/>
          <w:sz w:val="22"/>
          <w:szCs w:val="22"/>
        </w:rPr>
      </w:pPr>
      <w:r w:rsidRPr="004E156C">
        <w:rPr>
          <w:rFonts w:ascii="Calibri" w:hAnsi="Calibri"/>
          <w:b/>
          <w:bCs/>
          <w:i/>
          <w:iCs/>
          <w:color w:val="000000"/>
          <w:sz w:val="22"/>
          <w:szCs w:val="22"/>
        </w:rPr>
        <w:t>3.04-Other Receivables- this pack</w:t>
      </w:r>
      <w:r w:rsidR="00F678F7" w:rsidRPr="004E156C">
        <w:rPr>
          <w:rFonts w:ascii="Calibri" w:hAnsi="Calibri"/>
          <w:b/>
          <w:bCs/>
          <w:i/>
          <w:iCs/>
          <w:color w:val="000000"/>
          <w:sz w:val="22"/>
          <w:szCs w:val="22"/>
        </w:rPr>
        <w:t>age</w:t>
      </w:r>
      <w:r w:rsidRPr="004E156C">
        <w:rPr>
          <w:rFonts w:ascii="Calibri" w:hAnsi="Calibri"/>
          <w:b/>
          <w:bCs/>
          <w:i/>
          <w:iCs/>
          <w:color w:val="000000"/>
          <w:sz w:val="22"/>
          <w:szCs w:val="22"/>
        </w:rPr>
        <w:t xml:space="preserve"> will have the current receivable (account 1300010000) balances by fund at fiscal year-end.    </w:t>
      </w:r>
    </w:p>
    <w:p w14:paraId="50091ED5" w14:textId="58470291" w:rsidR="00313725" w:rsidRPr="004E156C" w:rsidRDefault="00313725" w:rsidP="00313725">
      <w:pPr>
        <w:spacing w:before="0" w:after="0"/>
        <w:contextualSpacing/>
        <w:jc w:val="left"/>
        <w:rPr>
          <w:rFonts w:ascii="Calibri" w:hAnsi="Calibri"/>
          <w:b/>
          <w:bCs/>
          <w:i/>
          <w:iCs/>
          <w:color w:val="000000"/>
          <w:sz w:val="22"/>
          <w:szCs w:val="22"/>
        </w:rPr>
      </w:pPr>
      <w:r w:rsidRPr="004E156C">
        <w:rPr>
          <w:rFonts w:ascii="Calibri" w:hAnsi="Calibri"/>
          <w:b/>
          <w:bCs/>
          <w:i/>
          <w:iCs/>
          <w:color w:val="000000"/>
          <w:sz w:val="22"/>
          <w:szCs w:val="22"/>
        </w:rPr>
        <w:t xml:space="preserve"> 3.09- Leases- this pack</w:t>
      </w:r>
      <w:r w:rsidR="00F678F7" w:rsidRPr="004E156C">
        <w:rPr>
          <w:rFonts w:ascii="Calibri" w:hAnsi="Calibri"/>
          <w:b/>
          <w:bCs/>
          <w:i/>
          <w:iCs/>
          <w:color w:val="000000"/>
          <w:sz w:val="22"/>
          <w:szCs w:val="22"/>
        </w:rPr>
        <w:t>age</w:t>
      </w:r>
      <w:r w:rsidRPr="004E156C">
        <w:rPr>
          <w:rFonts w:ascii="Calibri" w:hAnsi="Calibri"/>
          <w:b/>
          <w:bCs/>
          <w:i/>
          <w:iCs/>
          <w:color w:val="000000"/>
          <w:sz w:val="22"/>
          <w:szCs w:val="22"/>
        </w:rPr>
        <w:t xml:space="preserve"> will have the leases from the PY and any </w:t>
      </w:r>
      <w:proofErr w:type="gramStart"/>
      <w:r w:rsidRPr="004E156C">
        <w:rPr>
          <w:rFonts w:ascii="Calibri" w:hAnsi="Calibri"/>
          <w:b/>
          <w:bCs/>
          <w:i/>
          <w:iCs/>
          <w:color w:val="000000"/>
          <w:sz w:val="22"/>
          <w:szCs w:val="22"/>
        </w:rPr>
        <w:t>out year</w:t>
      </w:r>
      <w:proofErr w:type="gramEnd"/>
      <w:r w:rsidRPr="004E156C">
        <w:rPr>
          <w:rFonts w:ascii="Calibri" w:hAnsi="Calibri"/>
          <w:b/>
          <w:bCs/>
          <w:i/>
          <w:iCs/>
          <w:color w:val="000000"/>
          <w:sz w:val="22"/>
          <w:szCs w:val="22"/>
        </w:rPr>
        <w:t xml:space="preserve"> payments based upon PY submission  </w:t>
      </w:r>
    </w:p>
    <w:p w14:paraId="08F0A78D" w14:textId="0B3CEFE3" w:rsidR="00313725" w:rsidRDefault="00313725" w:rsidP="00313725">
      <w:pPr>
        <w:spacing w:before="0" w:after="0"/>
        <w:contextualSpacing/>
        <w:jc w:val="left"/>
        <w:rPr>
          <w:rFonts w:ascii="Calibri" w:hAnsi="Calibri"/>
          <w:b/>
          <w:bCs/>
          <w:i/>
          <w:iCs/>
          <w:color w:val="000000"/>
          <w:sz w:val="22"/>
          <w:szCs w:val="22"/>
        </w:rPr>
      </w:pPr>
      <w:r w:rsidRPr="004E156C">
        <w:rPr>
          <w:rFonts w:ascii="Calibri" w:hAnsi="Calibri"/>
          <w:b/>
          <w:bCs/>
          <w:i/>
          <w:iCs/>
          <w:color w:val="000000"/>
          <w:sz w:val="22"/>
          <w:szCs w:val="22"/>
        </w:rPr>
        <w:t xml:space="preserve"> 3.20- </w:t>
      </w:r>
      <w:r w:rsidR="00F678F7" w:rsidRPr="004E156C">
        <w:rPr>
          <w:rFonts w:ascii="Calibri" w:hAnsi="Calibri"/>
          <w:b/>
          <w:bCs/>
          <w:i/>
          <w:iCs/>
          <w:color w:val="000000"/>
          <w:sz w:val="22"/>
          <w:szCs w:val="22"/>
        </w:rPr>
        <w:t xml:space="preserve">Governmental </w:t>
      </w:r>
      <w:r w:rsidRPr="004E156C">
        <w:rPr>
          <w:rFonts w:ascii="Calibri" w:hAnsi="Calibri"/>
          <w:b/>
          <w:bCs/>
          <w:i/>
          <w:iCs/>
          <w:color w:val="000000"/>
          <w:sz w:val="22"/>
          <w:szCs w:val="22"/>
        </w:rPr>
        <w:t xml:space="preserve">Fund </w:t>
      </w:r>
      <w:r w:rsidR="00F678F7" w:rsidRPr="004E156C">
        <w:rPr>
          <w:rFonts w:ascii="Calibri" w:hAnsi="Calibri"/>
          <w:b/>
          <w:bCs/>
          <w:i/>
          <w:iCs/>
          <w:color w:val="000000"/>
          <w:sz w:val="22"/>
          <w:szCs w:val="22"/>
        </w:rPr>
        <w:t xml:space="preserve">Balance </w:t>
      </w:r>
      <w:r w:rsidRPr="004E156C">
        <w:rPr>
          <w:rFonts w:ascii="Calibri" w:hAnsi="Calibri"/>
          <w:b/>
          <w:bCs/>
          <w:i/>
          <w:iCs/>
          <w:color w:val="000000"/>
          <w:sz w:val="22"/>
          <w:szCs w:val="22"/>
        </w:rPr>
        <w:t>Classification- this pack</w:t>
      </w:r>
      <w:r w:rsidR="00F678F7" w:rsidRPr="004E156C">
        <w:rPr>
          <w:rFonts w:ascii="Calibri" w:hAnsi="Calibri"/>
          <w:b/>
          <w:bCs/>
          <w:i/>
          <w:iCs/>
          <w:color w:val="000000"/>
          <w:sz w:val="22"/>
          <w:szCs w:val="22"/>
        </w:rPr>
        <w:t>age</w:t>
      </w:r>
      <w:r w:rsidRPr="004E156C">
        <w:rPr>
          <w:rFonts w:ascii="Calibri" w:hAnsi="Calibri"/>
          <w:b/>
          <w:bCs/>
          <w:i/>
          <w:iCs/>
          <w:color w:val="000000"/>
          <w:sz w:val="22"/>
          <w:szCs w:val="22"/>
        </w:rPr>
        <w:t xml:space="preserve"> will </w:t>
      </w:r>
      <w:r w:rsidR="004E156C" w:rsidRPr="004E156C">
        <w:rPr>
          <w:rFonts w:ascii="Calibri" w:hAnsi="Calibri"/>
          <w:b/>
          <w:bCs/>
          <w:i/>
          <w:iCs/>
          <w:color w:val="000000"/>
          <w:sz w:val="22"/>
          <w:szCs w:val="22"/>
        </w:rPr>
        <w:t>prepopulate with</w:t>
      </w:r>
      <w:r w:rsidRPr="004E156C">
        <w:rPr>
          <w:rFonts w:ascii="Calibri" w:hAnsi="Calibri"/>
          <w:b/>
          <w:bCs/>
          <w:i/>
          <w:iCs/>
          <w:color w:val="000000"/>
          <w:sz w:val="22"/>
          <w:szCs w:val="22"/>
        </w:rPr>
        <w:t xml:space="preserve"> the </w:t>
      </w:r>
      <w:r w:rsidR="004E156C" w:rsidRPr="004E156C">
        <w:rPr>
          <w:rFonts w:ascii="Calibri" w:hAnsi="Calibri"/>
          <w:b/>
          <w:bCs/>
          <w:i/>
          <w:iCs/>
          <w:color w:val="000000"/>
          <w:sz w:val="22"/>
          <w:szCs w:val="22"/>
        </w:rPr>
        <w:t xml:space="preserve">governmental </w:t>
      </w:r>
      <w:r w:rsidRPr="004E156C">
        <w:rPr>
          <w:rFonts w:ascii="Calibri" w:hAnsi="Calibri"/>
          <w:b/>
          <w:bCs/>
          <w:i/>
          <w:iCs/>
          <w:color w:val="000000"/>
          <w:sz w:val="22"/>
          <w:szCs w:val="22"/>
        </w:rPr>
        <w:t xml:space="preserve">funds </w:t>
      </w:r>
      <w:r w:rsidR="004E156C" w:rsidRPr="004E156C">
        <w:rPr>
          <w:rFonts w:ascii="Calibri" w:hAnsi="Calibri"/>
          <w:b/>
          <w:bCs/>
          <w:i/>
          <w:iCs/>
          <w:color w:val="000000"/>
          <w:sz w:val="22"/>
          <w:szCs w:val="22"/>
        </w:rPr>
        <w:t>that had</w:t>
      </w:r>
      <w:r w:rsidRPr="004E156C">
        <w:rPr>
          <w:rFonts w:ascii="Calibri" w:hAnsi="Calibri"/>
          <w:b/>
          <w:bCs/>
          <w:i/>
          <w:iCs/>
          <w:color w:val="000000"/>
          <w:sz w:val="22"/>
          <w:szCs w:val="22"/>
        </w:rPr>
        <w:t xml:space="preserve"> activity during current </w:t>
      </w:r>
      <w:r w:rsidR="004E156C" w:rsidRPr="004E156C">
        <w:rPr>
          <w:rFonts w:ascii="Calibri" w:hAnsi="Calibri"/>
          <w:b/>
          <w:bCs/>
          <w:i/>
          <w:iCs/>
          <w:color w:val="000000"/>
          <w:sz w:val="22"/>
          <w:szCs w:val="22"/>
        </w:rPr>
        <w:t xml:space="preserve">fiscal </w:t>
      </w:r>
      <w:r w:rsidRPr="004E156C">
        <w:rPr>
          <w:rFonts w:ascii="Calibri" w:hAnsi="Calibri"/>
          <w:b/>
          <w:bCs/>
          <w:i/>
          <w:iCs/>
          <w:color w:val="000000"/>
          <w:sz w:val="22"/>
          <w:szCs w:val="22"/>
        </w:rPr>
        <w:t xml:space="preserve">year and </w:t>
      </w:r>
      <w:r w:rsidR="004E156C" w:rsidRPr="004E156C">
        <w:rPr>
          <w:rFonts w:ascii="Calibri" w:hAnsi="Calibri"/>
          <w:b/>
          <w:bCs/>
          <w:i/>
          <w:iCs/>
          <w:color w:val="000000"/>
          <w:sz w:val="22"/>
          <w:szCs w:val="22"/>
        </w:rPr>
        <w:t>the most current document classification</w:t>
      </w:r>
    </w:p>
    <w:p w14:paraId="147180DE" w14:textId="188F2C2E" w:rsidR="002D5E19" w:rsidRPr="00A050D9" w:rsidRDefault="00313725" w:rsidP="00021F79">
      <w:r>
        <w:br w:type="page"/>
      </w:r>
    </w:p>
    <w:tbl>
      <w:tblPr>
        <w:tblW w:w="1727" w:type="pct"/>
        <w:tblLayout w:type="fixed"/>
        <w:tblLook w:val="04A0" w:firstRow="1" w:lastRow="0" w:firstColumn="1" w:lastColumn="0" w:noHBand="0" w:noVBand="1"/>
      </w:tblPr>
      <w:tblGrid>
        <w:gridCol w:w="1681"/>
        <w:gridCol w:w="245"/>
        <w:gridCol w:w="1605"/>
      </w:tblGrid>
      <w:tr w:rsidR="00021F79" w:rsidRPr="004A5F44" w14:paraId="1F23E5AF" w14:textId="77777777" w:rsidTr="00021F79">
        <w:trPr>
          <w:trHeight w:val="300"/>
        </w:trPr>
        <w:tc>
          <w:tcPr>
            <w:tcW w:w="2380" w:type="pct"/>
            <w:tcBorders>
              <w:top w:val="nil"/>
              <w:left w:val="nil"/>
              <w:bottom w:val="nil"/>
              <w:right w:val="nil"/>
            </w:tcBorders>
            <w:shd w:val="clear" w:color="auto" w:fill="auto"/>
            <w:noWrap/>
            <w:vAlign w:val="bottom"/>
            <w:hideMark/>
          </w:tcPr>
          <w:p w14:paraId="532431FD" w14:textId="77777777" w:rsidR="00021F79" w:rsidRPr="004A5F44" w:rsidRDefault="00021F79" w:rsidP="00697B47">
            <w:pPr>
              <w:spacing w:before="0" w:after="0"/>
              <w:jc w:val="left"/>
              <w:rPr>
                <w:rFonts w:ascii="Calibri" w:hAnsi="Calibri"/>
                <w:color w:val="000000"/>
                <w:sz w:val="22"/>
                <w:szCs w:val="22"/>
              </w:rPr>
            </w:pPr>
          </w:p>
        </w:tc>
        <w:tc>
          <w:tcPr>
            <w:tcW w:w="347" w:type="pct"/>
            <w:tcBorders>
              <w:top w:val="nil"/>
              <w:left w:val="nil"/>
              <w:bottom w:val="nil"/>
              <w:right w:val="nil"/>
            </w:tcBorders>
            <w:shd w:val="clear" w:color="auto" w:fill="auto"/>
            <w:noWrap/>
            <w:vAlign w:val="bottom"/>
            <w:hideMark/>
          </w:tcPr>
          <w:p w14:paraId="2E9E89DB" w14:textId="77777777" w:rsidR="00021F79" w:rsidRPr="004A5F44" w:rsidRDefault="00021F79" w:rsidP="00697B47">
            <w:pPr>
              <w:spacing w:before="0" w:after="0"/>
              <w:jc w:val="left"/>
              <w:rPr>
                <w:rFonts w:ascii="Calibri" w:hAnsi="Calibri"/>
                <w:color w:val="000000"/>
                <w:sz w:val="22"/>
                <w:szCs w:val="22"/>
              </w:rPr>
            </w:pPr>
          </w:p>
        </w:tc>
        <w:tc>
          <w:tcPr>
            <w:tcW w:w="2273" w:type="pct"/>
            <w:tcBorders>
              <w:top w:val="nil"/>
              <w:left w:val="nil"/>
              <w:bottom w:val="nil"/>
              <w:right w:val="nil"/>
            </w:tcBorders>
            <w:shd w:val="clear" w:color="auto" w:fill="auto"/>
            <w:noWrap/>
            <w:vAlign w:val="bottom"/>
            <w:hideMark/>
          </w:tcPr>
          <w:p w14:paraId="131B7353" w14:textId="77777777" w:rsidR="00021F79" w:rsidRPr="004A5F44" w:rsidRDefault="00021F79" w:rsidP="00697B47">
            <w:pPr>
              <w:spacing w:before="0" w:after="0"/>
              <w:jc w:val="left"/>
              <w:rPr>
                <w:rFonts w:ascii="Calibri" w:hAnsi="Calibri"/>
                <w:color w:val="000000"/>
                <w:sz w:val="22"/>
                <w:szCs w:val="22"/>
              </w:rPr>
            </w:pPr>
          </w:p>
        </w:tc>
      </w:tr>
    </w:tbl>
    <w:p w14:paraId="1D9F2F4C" w14:textId="77777777" w:rsidR="00AF7FDC" w:rsidRDefault="00AF7FDC" w:rsidP="00AF7FDC">
      <w:pPr>
        <w:pStyle w:val="Heading2"/>
        <w:spacing w:before="0" w:after="0"/>
        <w:contextualSpacing/>
      </w:pPr>
      <w:r>
        <w:t xml:space="preserve">APPENDIX </w:t>
      </w:r>
      <w:r w:rsidRPr="00F03C0A">
        <w:t xml:space="preserve">F— </w:t>
      </w:r>
      <w:r>
        <w:t>RESOURCES</w:t>
      </w:r>
      <w:r w:rsidRPr="00F03C0A">
        <w:t xml:space="preserve"> FOR PA</w:t>
      </w:r>
      <w:r>
        <w:t>CKAGE</w:t>
      </w:r>
      <w:r w:rsidRPr="00F03C0A">
        <w:t xml:space="preserve"> 3.20</w:t>
      </w:r>
    </w:p>
    <w:p w14:paraId="7EE625D0" w14:textId="77777777" w:rsidR="00AF7FDC" w:rsidRDefault="00AF7FDC" w:rsidP="00AF7FDC">
      <w:pPr>
        <w:spacing w:before="0" w:after="0"/>
        <w:contextualSpacing/>
        <w:rPr>
          <w:rFonts w:ascii="Calibri" w:hAnsi="Calibri"/>
          <w:b/>
          <w:bCs/>
          <w:i/>
          <w:iCs/>
          <w:color w:val="000000"/>
          <w:sz w:val="22"/>
          <w:szCs w:val="22"/>
        </w:rPr>
      </w:pPr>
    </w:p>
    <w:p w14:paraId="5E458709" w14:textId="77777777" w:rsidR="00AF7FDC" w:rsidRPr="00021F79" w:rsidRDefault="00AF7FDC" w:rsidP="00AF7FDC">
      <w:pPr>
        <w:autoSpaceDE w:val="0"/>
        <w:autoSpaceDN w:val="0"/>
        <w:adjustRightInd w:val="0"/>
        <w:spacing w:before="0" w:after="0"/>
        <w:contextualSpacing/>
        <w:rPr>
          <w:rFonts w:eastAsiaTheme="minorHAnsi"/>
          <w:b/>
          <w:bCs/>
          <w:sz w:val="28"/>
          <w:szCs w:val="28"/>
          <w:u w:val="single"/>
        </w:rPr>
      </w:pPr>
      <w:r w:rsidRPr="00021F79">
        <w:rPr>
          <w:rFonts w:eastAsiaTheme="minorHAnsi"/>
          <w:b/>
          <w:bCs/>
          <w:sz w:val="28"/>
          <w:szCs w:val="28"/>
          <w:u w:val="single"/>
        </w:rPr>
        <w:t>Definitions for 3.20 Governmental Fund Balance Classification</w:t>
      </w:r>
    </w:p>
    <w:p w14:paraId="2C5A4275" w14:textId="77777777" w:rsidR="00AF7FDC" w:rsidRPr="00021F79" w:rsidRDefault="00AF7FDC" w:rsidP="00AF7FDC">
      <w:pPr>
        <w:autoSpaceDE w:val="0"/>
        <w:autoSpaceDN w:val="0"/>
        <w:adjustRightInd w:val="0"/>
        <w:spacing w:before="0" w:after="0"/>
        <w:contextualSpacing/>
        <w:rPr>
          <w:rFonts w:eastAsiaTheme="minorHAnsi"/>
          <w:b/>
          <w:bCs/>
          <w:sz w:val="22"/>
          <w:szCs w:val="22"/>
        </w:rPr>
      </w:pPr>
    </w:p>
    <w:p w14:paraId="1DB44258" w14:textId="77777777" w:rsidR="00AF7FDC" w:rsidRPr="00021F79" w:rsidRDefault="00AF7FDC" w:rsidP="00AF7FDC">
      <w:pPr>
        <w:autoSpaceDE w:val="0"/>
        <w:autoSpaceDN w:val="0"/>
        <w:adjustRightInd w:val="0"/>
        <w:spacing w:before="0" w:after="0"/>
        <w:contextualSpacing/>
        <w:rPr>
          <w:rFonts w:eastAsiaTheme="minorHAnsi"/>
          <w:b/>
          <w:bCs/>
          <w:sz w:val="22"/>
          <w:szCs w:val="22"/>
        </w:rPr>
      </w:pPr>
      <w:r w:rsidRPr="00021F79">
        <w:rPr>
          <w:rFonts w:eastAsiaTheme="minorHAnsi"/>
          <w:b/>
          <w:bCs/>
          <w:sz w:val="22"/>
          <w:szCs w:val="22"/>
        </w:rPr>
        <w:t>Nonspendable Fund Balance:</w:t>
      </w:r>
    </w:p>
    <w:p w14:paraId="2761FA85" w14:textId="77777777" w:rsidR="00AF7FDC" w:rsidRPr="00021F79" w:rsidRDefault="00AF7FDC" w:rsidP="00AF7FDC">
      <w:pPr>
        <w:autoSpaceDE w:val="0"/>
        <w:autoSpaceDN w:val="0"/>
        <w:adjustRightInd w:val="0"/>
        <w:spacing w:before="0" w:after="0"/>
        <w:contextualSpacing/>
        <w:rPr>
          <w:rFonts w:eastAsiaTheme="minorHAnsi"/>
          <w:sz w:val="22"/>
          <w:szCs w:val="22"/>
        </w:rPr>
      </w:pPr>
      <w:r w:rsidRPr="00021F79">
        <w:rPr>
          <w:rFonts w:eastAsiaTheme="minorHAnsi"/>
          <w:sz w:val="22"/>
          <w:szCs w:val="22"/>
        </w:rPr>
        <w:t>Nonspendable fund balance includes amounts that cannot be spent because they are either (a) not in spendable form or (b) legally or contractually required to be maintained intact.</w:t>
      </w:r>
    </w:p>
    <w:p w14:paraId="74D47DE8" w14:textId="77777777" w:rsidR="00AF7FDC" w:rsidRPr="00021F79" w:rsidRDefault="00AF7FDC" w:rsidP="00AF7FDC">
      <w:pPr>
        <w:autoSpaceDE w:val="0"/>
        <w:autoSpaceDN w:val="0"/>
        <w:adjustRightInd w:val="0"/>
        <w:spacing w:before="0" w:after="0"/>
        <w:contextualSpacing/>
        <w:rPr>
          <w:rFonts w:eastAsiaTheme="minorHAnsi"/>
          <w:sz w:val="22"/>
          <w:szCs w:val="22"/>
        </w:rPr>
      </w:pPr>
    </w:p>
    <w:p w14:paraId="16EF12F6" w14:textId="77777777" w:rsidR="00AF7FDC" w:rsidRPr="00021F79" w:rsidRDefault="00AF7FDC" w:rsidP="00AF7FDC">
      <w:pPr>
        <w:autoSpaceDE w:val="0"/>
        <w:autoSpaceDN w:val="0"/>
        <w:adjustRightInd w:val="0"/>
        <w:spacing w:before="0" w:after="0"/>
        <w:contextualSpacing/>
        <w:rPr>
          <w:rFonts w:eastAsiaTheme="minorHAnsi"/>
          <w:b/>
          <w:bCs/>
          <w:sz w:val="22"/>
          <w:szCs w:val="22"/>
        </w:rPr>
      </w:pPr>
      <w:r w:rsidRPr="00021F79">
        <w:rPr>
          <w:rFonts w:eastAsiaTheme="minorHAnsi"/>
          <w:b/>
          <w:bCs/>
          <w:sz w:val="22"/>
          <w:szCs w:val="22"/>
        </w:rPr>
        <w:t>Restricted Fund Balance:</w:t>
      </w:r>
    </w:p>
    <w:p w14:paraId="6CB72D93" w14:textId="77777777" w:rsidR="00AF7FDC" w:rsidRPr="00021F79" w:rsidRDefault="00AF7FDC" w:rsidP="00AF7FDC">
      <w:pPr>
        <w:autoSpaceDE w:val="0"/>
        <w:autoSpaceDN w:val="0"/>
        <w:adjustRightInd w:val="0"/>
        <w:spacing w:before="0" w:after="0"/>
        <w:contextualSpacing/>
        <w:rPr>
          <w:rFonts w:eastAsiaTheme="minorHAnsi"/>
          <w:sz w:val="22"/>
          <w:szCs w:val="22"/>
        </w:rPr>
      </w:pPr>
      <w:r w:rsidRPr="00021F79">
        <w:rPr>
          <w:rFonts w:eastAsiaTheme="minorHAnsi"/>
          <w:sz w:val="22"/>
          <w:szCs w:val="22"/>
        </w:rPr>
        <w:t>Fund balance should be reported as restricted when constraints placed on the use of resources are either (1) externally imposed by creditors (i.e., debt covenants), grantors, contributors, or laws or regulations of other governments; or (2) imposed by law through constitutional provisions or enabling legislation.</w:t>
      </w:r>
    </w:p>
    <w:p w14:paraId="7E461C0A" w14:textId="77777777" w:rsidR="00021F79" w:rsidRPr="00021F79" w:rsidRDefault="00AF7FDC" w:rsidP="00021F79">
      <w:pPr>
        <w:autoSpaceDE w:val="0"/>
        <w:autoSpaceDN w:val="0"/>
        <w:adjustRightInd w:val="0"/>
        <w:spacing w:before="0" w:after="0"/>
        <w:contextualSpacing/>
        <w:rPr>
          <w:rFonts w:eastAsiaTheme="minorHAnsi"/>
          <w:sz w:val="22"/>
          <w:szCs w:val="22"/>
        </w:rPr>
      </w:pPr>
      <w:r w:rsidRPr="00021F79">
        <w:rPr>
          <w:rFonts w:eastAsiaTheme="minorHAnsi"/>
          <w:sz w:val="22"/>
          <w:szCs w:val="22"/>
        </w:rPr>
        <w:t>Enabling legislation, as defined by GASB 54, authorizes the government to assess, levy, charge, or otherwise mandate payment of resources (from external resource providers) and includes a legally enforceable requirement that those resources be used only for the specific purposes stipulated in the legislation. Legal enforceability means that a government can be compelled by an external party - such as citizens, public interest groups, or the judiciary - to use resources created by enabling legislation only for the purposes specified by the Legislation.</w:t>
      </w:r>
      <w:r w:rsidR="00021F79">
        <w:rPr>
          <w:rFonts w:eastAsiaTheme="minorHAnsi"/>
          <w:sz w:val="22"/>
          <w:szCs w:val="22"/>
        </w:rPr>
        <w:t xml:space="preserve"> </w:t>
      </w:r>
      <w:r w:rsidR="00021F79" w:rsidRPr="00021F79">
        <w:rPr>
          <w:rFonts w:eastAsiaTheme="minorHAnsi"/>
          <w:sz w:val="22"/>
          <w:szCs w:val="22"/>
        </w:rPr>
        <w:t xml:space="preserve">Enabling legislation is considered a compact with the resource providers that the revenues raised pursuant to that legislation would be used only for the promised purpose and the government has a relative inability to redeploy the restricted amounts for other purposes. </w:t>
      </w:r>
    </w:p>
    <w:p w14:paraId="62AE9F65" w14:textId="77777777" w:rsidR="00021F79" w:rsidRPr="00021F79" w:rsidRDefault="00021F79" w:rsidP="00021F79">
      <w:pPr>
        <w:autoSpaceDE w:val="0"/>
        <w:autoSpaceDN w:val="0"/>
        <w:adjustRightInd w:val="0"/>
        <w:spacing w:before="0" w:after="0"/>
        <w:contextualSpacing/>
        <w:rPr>
          <w:rFonts w:eastAsiaTheme="minorHAnsi"/>
          <w:sz w:val="22"/>
          <w:szCs w:val="22"/>
        </w:rPr>
      </w:pPr>
    </w:p>
    <w:p w14:paraId="4A5C41CF" w14:textId="6025D7F5" w:rsidR="00AF7FDC" w:rsidRPr="00021F79" w:rsidRDefault="00021F79" w:rsidP="00021F79">
      <w:pPr>
        <w:autoSpaceDE w:val="0"/>
        <w:autoSpaceDN w:val="0"/>
        <w:adjustRightInd w:val="0"/>
        <w:spacing w:before="0" w:after="0"/>
        <w:contextualSpacing/>
        <w:rPr>
          <w:rFonts w:eastAsiaTheme="minorHAnsi"/>
          <w:sz w:val="22"/>
          <w:szCs w:val="22"/>
        </w:rPr>
      </w:pPr>
      <w:r w:rsidRPr="00021F79">
        <w:rPr>
          <w:rFonts w:eastAsiaTheme="minorHAnsi"/>
          <w:sz w:val="22"/>
          <w:szCs w:val="22"/>
        </w:rPr>
        <w:t>Note: Grants awarded to a State agency from another State agency may be classified as committed or assigned, rather than restricted, if the grant is funded using State appropriations or other State funds that are classified as committed or assigned for the State agency awarding the grant.</w:t>
      </w:r>
    </w:p>
    <w:p w14:paraId="7B47D482" w14:textId="77777777" w:rsidR="00AF7FDC" w:rsidRPr="00021F79" w:rsidRDefault="00AF7FDC" w:rsidP="00AF7FDC">
      <w:pPr>
        <w:autoSpaceDE w:val="0"/>
        <w:autoSpaceDN w:val="0"/>
        <w:adjustRightInd w:val="0"/>
        <w:spacing w:before="0" w:after="0"/>
        <w:contextualSpacing/>
        <w:rPr>
          <w:rFonts w:eastAsiaTheme="minorHAnsi"/>
          <w:sz w:val="22"/>
          <w:szCs w:val="22"/>
        </w:rPr>
      </w:pPr>
    </w:p>
    <w:p w14:paraId="0DB0734B" w14:textId="77777777" w:rsidR="00AF7FDC" w:rsidRPr="00021F79" w:rsidRDefault="00AF7FDC" w:rsidP="00AF7FDC">
      <w:pPr>
        <w:autoSpaceDE w:val="0"/>
        <w:autoSpaceDN w:val="0"/>
        <w:adjustRightInd w:val="0"/>
        <w:spacing w:before="0" w:after="0"/>
        <w:contextualSpacing/>
        <w:rPr>
          <w:rFonts w:eastAsiaTheme="minorHAnsi"/>
          <w:b/>
          <w:bCs/>
          <w:sz w:val="22"/>
          <w:szCs w:val="22"/>
        </w:rPr>
      </w:pPr>
      <w:r w:rsidRPr="00021F79">
        <w:rPr>
          <w:rFonts w:eastAsiaTheme="minorHAnsi"/>
          <w:b/>
          <w:bCs/>
          <w:sz w:val="22"/>
          <w:szCs w:val="22"/>
        </w:rPr>
        <w:t>Committed Fund Balance:</w:t>
      </w:r>
    </w:p>
    <w:p w14:paraId="3CBD4084" w14:textId="252ED24D" w:rsidR="00021F79" w:rsidRPr="00021F79" w:rsidRDefault="00021F79" w:rsidP="00021F79">
      <w:pPr>
        <w:autoSpaceDE w:val="0"/>
        <w:autoSpaceDN w:val="0"/>
        <w:adjustRightInd w:val="0"/>
        <w:spacing w:before="0" w:after="0"/>
        <w:contextualSpacing/>
        <w:rPr>
          <w:rFonts w:eastAsiaTheme="minorHAnsi"/>
          <w:sz w:val="22"/>
          <w:szCs w:val="22"/>
        </w:rPr>
      </w:pPr>
      <w:r w:rsidRPr="00021F79">
        <w:rPr>
          <w:rFonts w:eastAsiaTheme="minorHAnsi"/>
          <w:sz w:val="22"/>
          <w:szCs w:val="22"/>
        </w:rPr>
        <w:t xml:space="preserve">Amounts in fund balance can only be used for the specific purposes determined by formal action of the government's highest level of decision-making </w:t>
      </w:r>
      <w:proofErr w:type="gramStart"/>
      <w:r w:rsidRPr="00021F79">
        <w:rPr>
          <w:rFonts w:eastAsiaTheme="minorHAnsi"/>
          <w:sz w:val="22"/>
          <w:szCs w:val="22"/>
        </w:rPr>
        <w:t>authority;</w:t>
      </w:r>
      <w:proofErr w:type="gramEnd"/>
      <w:r w:rsidRPr="00021F79">
        <w:rPr>
          <w:rFonts w:eastAsiaTheme="minorHAnsi"/>
          <w:sz w:val="22"/>
          <w:szCs w:val="22"/>
        </w:rPr>
        <w:t xml:space="preserve"> self-imposed limitations. </w:t>
      </w:r>
      <w:r>
        <w:rPr>
          <w:rFonts w:eastAsiaTheme="minorHAnsi"/>
          <w:sz w:val="22"/>
          <w:szCs w:val="22"/>
        </w:rPr>
        <w:t>For the State, the highest level of decision-making authority is the South Carolina General Assembly (the legislature</w:t>
      </w:r>
      <w:proofErr w:type="gramStart"/>
      <w:r>
        <w:rPr>
          <w:rFonts w:eastAsiaTheme="minorHAnsi"/>
          <w:sz w:val="22"/>
          <w:szCs w:val="22"/>
        </w:rPr>
        <w:t>)</w:t>
      </w:r>
      <w:proofErr w:type="gramEnd"/>
      <w:r w:rsidR="00724EDE">
        <w:rPr>
          <w:rFonts w:eastAsiaTheme="minorHAnsi"/>
          <w:sz w:val="22"/>
          <w:szCs w:val="22"/>
        </w:rPr>
        <w:t xml:space="preserve"> and commitments are established through State statute. </w:t>
      </w:r>
    </w:p>
    <w:p w14:paraId="4DDBC614" w14:textId="10AAAF57" w:rsidR="00724EDE" w:rsidRDefault="00021F79" w:rsidP="00021F79">
      <w:pPr>
        <w:autoSpaceDE w:val="0"/>
        <w:autoSpaceDN w:val="0"/>
        <w:adjustRightInd w:val="0"/>
        <w:spacing w:before="0" w:after="0"/>
        <w:contextualSpacing/>
        <w:rPr>
          <w:rFonts w:eastAsiaTheme="minorHAnsi"/>
          <w:sz w:val="22"/>
          <w:szCs w:val="22"/>
        </w:rPr>
      </w:pPr>
      <w:r w:rsidRPr="00021F79">
        <w:rPr>
          <w:rFonts w:eastAsiaTheme="minorHAnsi"/>
          <w:sz w:val="22"/>
          <w:szCs w:val="22"/>
        </w:rPr>
        <w:t xml:space="preserve">Committed funds cannot be used for any other purpose unless the government removes or changes the specified use by taking the same type of action it employed to previously commit those amounts. </w:t>
      </w:r>
      <w:r w:rsidR="00724EDE" w:rsidRPr="00724EDE">
        <w:rPr>
          <w:rFonts w:eastAsiaTheme="minorHAnsi"/>
          <w:sz w:val="22"/>
          <w:szCs w:val="22"/>
        </w:rPr>
        <w:t>Constraints imposed on the use of committed amounts are imposed by the government, separate from the authorization to raise the underlying revenue.</w:t>
      </w:r>
      <w:r w:rsidR="00724EDE">
        <w:rPr>
          <w:rFonts w:eastAsiaTheme="minorHAnsi"/>
          <w:sz w:val="22"/>
          <w:szCs w:val="22"/>
        </w:rPr>
        <w:t xml:space="preserve"> </w:t>
      </w:r>
      <w:r w:rsidR="00724EDE" w:rsidRPr="00724EDE">
        <w:rPr>
          <w:rFonts w:eastAsiaTheme="minorHAnsi"/>
          <w:sz w:val="22"/>
          <w:szCs w:val="22"/>
        </w:rPr>
        <w:t>Compliance with constraints imposed by the government that commit amounts to specific purposes is not considered to be legally enforceable.</w:t>
      </w:r>
    </w:p>
    <w:p w14:paraId="4360E7C9" w14:textId="0A21CDAB" w:rsidR="00021F79" w:rsidRPr="00021F79" w:rsidRDefault="00021F79" w:rsidP="00021F79">
      <w:pPr>
        <w:autoSpaceDE w:val="0"/>
        <w:autoSpaceDN w:val="0"/>
        <w:adjustRightInd w:val="0"/>
        <w:spacing w:before="0" w:after="0"/>
        <w:contextualSpacing/>
        <w:rPr>
          <w:rFonts w:eastAsiaTheme="minorHAnsi"/>
          <w:sz w:val="22"/>
          <w:szCs w:val="22"/>
        </w:rPr>
      </w:pPr>
      <w:r w:rsidRPr="00021F79">
        <w:rPr>
          <w:rFonts w:eastAsiaTheme="minorHAnsi"/>
          <w:sz w:val="22"/>
          <w:szCs w:val="22"/>
        </w:rPr>
        <w:t xml:space="preserve">Committed fund balance should also include contractual obligations to the extent that existing resources in the fund have been specifically committed for use in satisfying those contractual requirements. </w:t>
      </w:r>
    </w:p>
    <w:p w14:paraId="16F59FEE" w14:textId="77777777" w:rsidR="00AF7FDC" w:rsidRPr="00021F79" w:rsidRDefault="00AF7FDC" w:rsidP="00AF7FDC">
      <w:pPr>
        <w:autoSpaceDE w:val="0"/>
        <w:autoSpaceDN w:val="0"/>
        <w:adjustRightInd w:val="0"/>
        <w:spacing w:before="0" w:after="0"/>
        <w:contextualSpacing/>
        <w:rPr>
          <w:rFonts w:eastAsiaTheme="minorHAnsi"/>
          <w:sz w:val="22"/>
          <w:szCs w:val="22"/>
        </w:rPr>
      </w:pPr>
    </w:p>
    <w:p w14:paraId="6805365D" w14:textId="77777777" w:rsidR="00AF7FDC" w:rsidRPr="00021F79" w:rsidRDefault="00AF7FDC" w:rsidP="00AF7FDC">
      <w:pPr>
        <w:autoSpaceDE w:val="0"/>
        <w:autoSpaceDN w:val="0"/>
        <w:adjustRightInd w:val="0"/>
        <w:spacing w:before="0" w:after="0"/>
        <w:contextualSpacing/>
        <w:rPr>
          <w:rFonts w:eastAsiaTheme="minorHAnsi"/>
          <w:b/>
          <w:bCs/>
          <w:sz w:val="22"/>
          <w:szCs w:val="22"/>
        </w:rPr>
      </w:pPr>
      <w:r w:rsidRPr="00021F79">
        <w:rPr>
          <w:rFonts w:eastAsiaTheme="minorHAnsi"/>
          <w:b/>
          <w:bCs/>
          <w:sz w:val="22"/>
          <w:szCs w:val="22"/>
        </w:rPr>
        <w:t>Assigned Fund Balance:</w:t>
      </w:r>
    </w:p>
    <w:p w14:paraId="2B0383E0" w14:textId="343FEE62" w:rsidR="00AF7FDC" w:rsidRDefault="00AF7FDC" w:rsidP="00AF7FDC">
      <w:pPr>
        <w:autoSpaceDE w:val="0"/>
        <w:autoSpaceDN w:val="0"/>
        <w:adjustRightInd w:val="0"/>
        <w:spacing w:before="0" w:after="0"/>
        <w:contextualSpacing/>
        <w:rPr>
          <w:rFonts w:eastAsiaTheme="minorHAnsi"/>
          <w:sz w:val="22"/>
          <w:szCs w:val="22"/>
        </w:rPr>
      </w:pPr>
      <w:r w:rsidRPr="00021F79">
        <w:rPr>
          <w:rFonts w:eastAsiaTheme="minorHAnsi"/>
          <w:sz w:val="22"/>
          <w:szCs w:val="22"/>
        </w:rPr>
        <w:t>Amounts that are constrained by the government's intent to be used for specific purposes</w:t>
      </w:r>
      <w:r w:rsidR="00724EDE">
        <w:rPr>
          <w:rFonts w:eastAsiaTheme="minorHAnsi"/>
          <w:sz w:val="22"/>
          <w:szCs w:val="22"/>
        </w:rPr>
        <w:t xml:space="preserve">. </w:t>
      </w:r>
      <w:r w:rsidR="00724EDE" w:rsidRPr="00724EDE">
        <w:rPr>
          <w:rFonts w:eastAsiaTheme="minorHAnsi"/>
          <w:sz w:val="22"/>
          <w:szCs w:val="22"/>
        </w:rPr>
        <w:t>Constraints imposed can be more easily removed or altered as compared with those imposed on amounts classified as committed.</w:t>
      </w:r>
    </w:p>
    <w:p w14:paraId="7513FA47" w14:textId="4AFFDE07" w:rsidR="00AF7FDC" w:rsidRDefault="00724EDE" w:rsidP="00AF7FDC">
      <w:pPr>
        <w:autoSpaceDE w:val="0"/>
        <w:autoSpaceDN w:val="0"/>
        <w:adjustRightInd w:val="0"/>
        <w:spacing w:before="0" w:after="0"/>
        <w:contextualSpacing/>
        <w:rPr>
          <w:rFonts w:eastAsiaTheme="minorHAnsi"/>
          <w:sz w:val="22"/>
          <w:szCs w:val="22"/>
        </w:rPr>
      </w:pPr>
      <w:r w:rsidRPr="00724EDE">
        <w:rPr>
          <w:rFonts w:eastAsiaTheme="minorHAnsi"/>
          <w:sz w:val="22"/>
          <w:szCs w:val="22"/>
        </w:rPr>
        <w:t>For the State specifically, assigned fund balances represent amounts that are unavailable for appropriation and are not classified as nonspendable, restricted, or committed. Assignments are generally made by appropriation actions of the legislature.</w:t>
      </w:r>
    </w:p>
    <w:p w14:paraId="6B2B7C5E" w14:textId="77777777" w:rsidR="00724EDE" w:rsidRPr="00021F79" w:rsidRDefault="00724EDE" w:rsidP="00AF7FDC">
      <w:pPr>
        <w:autoSpaceDE w:val="0"/>
        <w:autoSpaceDN w:val="0"/>
        <w:adjustRightInd w:val="0"/>
        <w:spacing w:before="0" w:after="0"/>
        <w:contextualSpacing/>
        <w:rPr>
          <w:rFonts w:eastAsiaTheme="minorHAnsi"/>
          <w:sz w:val="22"/>
          <w:szCs w:val="22"/>
        </w:rPr>
      </w:pPr>
    </w:p>
    <w:p w14:paraId="1A755E2C" w14:textId="77777777" w:rsidR="00AF7FDC" w:rsidRPr="00021F79" w:rsidRDefault="00AF7FDC" w:rsidP="00AF7FDC">
      <w:pPr>
        <w:autoSpaceDE w:val="0"/>
        <w:autoSpaceDN w:val="0"/>
        <w:adjustRightInd w:val="0"/>
        <w:spacing w:before="0" w:after="0"/>
        <w:contextualSpacing/>
        <w:rPr>
          <w:rFonts w:eastAsiaTheme="minorHAnsi"/>
          <w:b/>
          <w:bCs/>
          <w:sz w:val="22"/>
          <w:szCs w:val="22"/>
        </w:rPr>
      </w:pPr>
      <w:r w:rsidRPr="00021F79">
        <w:rPr>
          <w:rFonts w:eastAsiaTheme="minorHAnsi"/>
          <w:b/>
          <w:bCs/>
          <w:sz w:val="22"/>
          <w:szCs w:val="22"/>
        </w:rPr>
        <w:lastRenderedPageBreak/>
        <w:t>Unassigned Fund Balance:</w:t>
      </w:r>
    </w:p>
    <w:p w14:paraId="77A92689" w14:textId="77777777" w:rsidR="00724EDE" w:rsidRPr="00724EDE" w:rsidRDefault="00AF7FDC" w:rsidP="00724EDE">
      <w:pPr>
        <w:autoSpaceDE w:val="0"/>
        <w:autoSpaceDN w:val="0"/>
        <w:adjustRightInd w:val="0"/>
        <w:spacing w:before="0" w:after="0"/>
        <w:contextualSpacing/>
        <w:rPr>
          <w:rFonts w:eastAsiaTheme="minorHAnsi"/>
          <w:sz w:val="22"/>
          <w:szCs w:val="22"/>
        </w:rPr>
      </w:pPr>
      <w:r w:rsidRPr="00021F79">
        <w:rPr>
          <w:rFonts w:eastAsiaTheme="minorHAnsi"/>
          <w:sz w:val="22"/>
          <w:szCs w:val="22"/>
        </w:rPr>
        <w:t xml:space="preserve">Unassigned fund balance is the residual classification for the General Fund. </w:t>
      </w:r>
      <w:r w:rsidR="00724EDE" w:rsidRPr="00724EDE">
        <w:rPr>
          <w:rFonts w:eastAsiaTheme="minorHAnsi"/>
          <w:sz w:val="22"/>
          <w:szCs w:val="22"/>
        </w:rPr>
        <w:t>Fund balance that has not been assigned to other funds and has not been restricted, committed, or assigned to specific purposes within the general fund.</w:t>
      </w:r>
    </w:p>
    <w:p w14:paraId="2F3850A7" w14:textId="77777777" w:rsidR="00724EDE" w:rsidRPr="00724EDE" w:rsidRDefault="00724EDE" w:rsidP="00724EDE">
      <w:pPr>
        <w:autoSpaceDE w:val="0"/>
        <w:autoSpaceDN w:val="0"/>
        <w:adjustRightInd w:val="0"/>
        <w:spacing w:before="0" w:after="0"/>
        <w:contextualSpacing/>
        <w:rPr>
          <w:rFonts w:eastAsiaTheme="minorHAnsi"/>
          <w:sz w:val="22"/>
          <w:szCs w:val="22"/>
        </w:rPr>
      </w:pPr>
    </w:p>
    <w:p w14:paraId="23AA7283" w14:textId="04CBD528" w:rsidR="00AF7FDC" w:rsidRPr="00021F79" w:rsidRDefault="00724EDE" w:rsidP="00724EDE">
      <w:pPr>
        <w:autoSpaceDE w:val="0"/>
        <w:autoSpaceDN w:val="0"/>
        <w:adjustRightInd w:val="0"/>
        <w:spacing w:before="0" w:after="0"/>
        <w:contextualSpacing/>
        <w:rPr>
          <w:rFonts w:eastAsiaTheme="minorHAnsi"/>
          <w:sz w:val="22"/>
          <w:szCs w:val="22"/>
        </w:rPr>
      </w:pPr>
      <w:r w:rsidRPr="00724EDE">
        <w:rPr>
          <w:rFonts w:eastAsiaTheme="minorHAnsi"/>
          <w:sz w:val="22"/>
          <w:szCs w:val="22"/>
        </w:rPr>
        <w:t xml:space="preserve">Note: All funds beginning with a 1 or 2 are classified as unassigned and should not be changed by the agency for any reason. The Comptroller General's Office will reclassify, as necessary, any balances within these funds for a) General Fund appropriation carryforwards based on data obtained from SCEIS (no reporting by the agency is necessary) and/or b) restricted grant balances based on balances reported by the agency </w:t>
      </w:r>
      <w:r w:rsidR="00FA0EF1">
        <w:rPr>
          <w:rFonts w:eastAsiaTheme="minorHAnsi"/>
          <w:sz w:val="22"/>
          <w:szCs w:val="22"/>
        </w:rPr>
        <w:t>on the 3.20 reporting package.</w:t>
      </w:r>
    </w:p>
    <w:p w14:paraId="5CF7CBBA" w14:textId="77777777" w:rsidR="00AF7FDC" w:rsidRPr="00021F79" w:rsidRDefault="00AF7FDC" w:rsidP="00AF7FDC">
      <w:pPr>
        <w:autoSpaceDE w:val="0"/>
        <w:autoSpaceDN w:val="0"/>
        <w:adjustRightInd w:val="0"/>
        <w:spacing w:before="0" w:after="0"/>
        <w:contextualSpacing/>
        <w:rPr>
          <w:rFonts w:eastAsiaTheme="minorHAnsi"/>
          <w:sz w:val="22"/>
          <w:szCs w:val="22"/>
        </w:rPr>
      </w:pPr>
    </w:p>
    <w:p w14:paraId="294F8AFE" w14:textId="77777777" w:rsidR="00AF7FDC" w:rsidRPr="00021F79" w:rsidRDefault="00AF7FDC" w:rsidP="00AF7FDC">
      <w:pPr>
        <w:autoSpaceDE w:val="0"/>
        <w:autoSpaceDN w:val="0"/>
        <w:adjustRightInd w:val="0"/>
        <w:spacing w:before="0" w:after="0"/>
        <w:contextualSpacing/>
        <w:rPr>
          <w:rFonts w:eastAsiaTheme="minorHAnsi"/>
          <w:sz w:val="22"/>
          <w:szCs w:val="22"/>
        </w:rPr>
      </w:pPr>
      <w:r w:rsidRPr="00021F79">
        <w:rPr>
          <w:rFonts w:eastAsiaTheme="minorHAnsi"/>
          <w:sz w:val="22"/>
          <w:szCs w:val="22"/>
        </w:rPr>
        <w:t xml:space="preserve"> </w:t>
      </w:r>
    </w:p>
    <w:p w14:paraId="6B9405BE" w14:textId="4AFFEEF7" w:rsidR="00AF7FDC" w:rsidRPr="00021F79" w:rsidRDefault="00AF7FDC" w:rsidP="00AF7FDC">
      <w:pPr>
        <w:autoSpaceDE w:val="0"/>
        <w:autoSpaceDN w:val="0"/>
        <w:adjustRightInd w:val="0"/>
        <w:spacing w:before="0" w:after="0"/>
        <w:contextualSpacing/>
        <w:rPr>
          <w:rFonts w:eastAsiaTheme="minorHAnsi"/>
          <w:b/>
          <w:sz w:val="28"/>
          <w:szCs w:val="28"/>
          <w:u w:val="single"/>
        </w:rPr>
      </w:pPr>
      <w:r w:rsidRPr="00021F79">
        <w:rPr>
          <w:rFonts w:eastAsiaTheme="minorHAnsi"/>
          <w:b/>
          <w:sz w:val="28"/>
          <w:szCs w:val="28"/>
          <w:u w:val="single"/>
        </w:rPr>
        <w:t xml:space="preserve">South Carolina </w:t>
      </w:r>
      <w:r w:rsidR="00FA0EF1">
        <w:rPr>
          <w:rFonts w:eastAsiaTheme="minorHAnsi"/>
          <w:b/>
          <w:sz w:val="28"/>
          <w:szCs w:val="28"/>
          <w:u w:val="single"/>
        </w:rPr>
        <w:t xml:space="preserve">Unassigned </w:t>
      </w:r>
      <w:r w:rsidRPr="00021F79">
        <w:rPr>
          <w:rFonts w:eastAsiaTheme="minorHAnsi"/>
          <w:b/>
          <w:sz w:val="28"/>
          <w:szCs w:val="28"/>
          <w:u w:val="single"/>
        </w:rPr>
        <w:t xml:space="preserve">Fund Balance Classifications </w:t>
      </w:r>
      <w:r w:rsidR="00FA0EF1">
        <w:rPr>
          <w:rFonts w:eastAsiaTheme="minorHAnsi"/>
          <w:b/>
          <w:sz w:val="28"/>
          <w:szCs w:val="28"/>
          <w:u w:val="single"/>
        </w:rPr>
        <w:t>determined by</w:t>
      </w:r>
      <w:r w:rsidRPr="00021F79">
        <w:rPr>
          <w:rFonts w:eastAsiaTheme="minorHAnsi"/>
          <w:b/>
          <w:sz w:val="28"/>
          <w:szCs w:val="28"/>
          <w:u w:val="single"/>
        </w:rPr>
        <w:t xml:space="preserve"> policy</w:t>
      </w:r>
    </w:p>
    <w:p w14:paraId="28AD3134" w14:textId="77777777" w:rsidR="00AF7FDC" w:rsidRPr="00021F79" w:rsidRDefault="00AF7FDC" w:rsidP="00AF7FDC">
      <w:pPr>
        <w:autoSpaceDE w:val="0"/>
        <w:autoSpaceDN w:val="0"/>
        <w:adjustRightInd w:val="0"/>
        <w:spacing w:before="0" w:after="0"/>
        <w:contextualSpacing/>
        <w:rPr>
          <w:rFonts w:eastAsiaTheme="minorHAnsi"/>
          <w:b/>
          <w:sz w:val="22"/>
          <w:szCs w:val="22"/>
        </w:rPr>
      </w:pPr>
    </w:p>
    <w:p w14:paraId="5235F698" w14:textId="77777777" w:rsidR="00FA0EF1" w:rsidRPr="00FA0EF1" w:rsidRDefault="00FA0EF1" w:rsidP="00FA0EF1">
      <w:pPr>
        <w:pStyle w:val="ListParagraph"/>
        <w:numPr>
          <w:ilvl w:val="0"/>
          <w:numId w:val="58"/>
        </w:numPr>
        <w:spacing w:before="0" w:after="160"/>
        <w:ind w:left="1080"/>
        <w:jc w:val="left"/>
        <w:rPr>
          <w:sz w:val="22"/>
          <w:szCs w:val="22"/>
        </w:rPr>
      </w:pPr>
      <w:r w:rsidRPr="00FA0EF1">
        <w:rPr>
          <w:sz w:val="22"/>
          <w:szCs w:val="22"/>
        </w:rPr>
        <w:t xml:space="preserve">General Fund surplus </w:t>
      </w:r>
    </w:p>
    <w:p w14:paraId="7B4211F0" w14:textId="77777777" w:rsidR="00FA0EF1" w:rsidRPr="00FA0EF1" w:rsidRDefault="00FA0EF1" w:rsidP="00FA0EF1">
      <w:pPr>
        <w:pStyle w:val="ListParagraph"/>
        <w:numPr>
          <w:ilvl w:val="0"/>
          <w:numId w:val="58"/>
        </w:numPr>
        <w:spacing w:before="0" w:after="160"/>
        <w:ind w:left="1080"/>
        <w:jc w:val="left"/>
        <w:rPr>
          <w:sz w:val="22"/>
          <w:szCs w:val="22"/>
        </w:rPr>
      </w:pPr>
      <w:r w:rsidRPr="00FA0EF1">
        <w:rPr>
          <w:sz w:val="22"/>
          <w:szCs w:val="22"/>
        </w:rPr>
        <w:t>Contingency Reserve Fund (46630000)</w:t>
      </w:r>
    </w:p>
    <w:p w14:paraId="30B71388" w14:textId="77777777" w:rsidR="00FA0EF1" w:rsidRPr="00FA0EF1" w:rsidRDefault="00FA0EF1" w:rsidP="00FA0EF1">
      <w:pPr>
        <w:pStyle w:val="ListParagraph"/>
        <w:numPr>
          <w:ilvl w:val="0"/>
          <w:numId w:val="58"/>
        </w:numPr>
        <w:spacing w:before="0" w:after="160"/>
        <w:ind w:left="1080"/>
        <w:jc w:val="left"/>
        <w:rPr>
          <w:sz w:val="22"/>
          <w:szCs w:val="22"/>
        </w:rPr>
      </w:pPr>
      <w:r w:rsidRPr="00FA0EF1">
        <w:rPr>
          <w:sz w:val="22"/>
          <w:szCs w:val="22"/>
        </w:rPr>
        <w:t>Capital Reserve Fund (45760000)</w:t>
      </w:r>
    </w:p>
    <w:p w14:paraId="7A751F3F" w14:textId="77777777" w:rsidR="00FA0EF1" w:rsidRPr="00FA0EF1" w:rsidRDefault="00FA0EF1" w:rsidP="00FA0EF1">
      <w:pPr>
        <w:pStyle w:val="ListParagraph"/>
        <w:numPr>
          <w:ilvl w:val="0"/>
          <w:numId w:val="58"/>
        </w:numPr>
        <w:spacing w:before="0" w:after="160"/>
        <w:ind w:left="1080"/>
        <w:jc w:val="left"/>
        <w:rPr>
          <w:sz w:val="22"/>
          <w:szCs w:val="22"/>
        </w:rPr>
      </w:pPr>
      <w:r w:rsidRPr="00FA0EF1">
        <w:rPr>
          <w:sz w:val="22"/>
          <w:szCs w:val="22"/>
        </w:rPr>
        <w:t>General Reserve Fund (47130000)</w:t>
      </w:r>
    </w:p>
    <w:p w14:paraId="7A3CA1BA" w14:textId="77777777" w:rsidR="00FA0EF1" w:rsidRPr="00FA0EF1" w:rsidRDefault="00FA0EF1" w:rsidP="00FA0EF1">
      <w:pPr>
        <w:pStyle w:val="ListParagraph"/>
        <w:numPr>
          <w:ilvl w:val="0"/>
          <w:numId w:val="58"/>
        </w:numPr>
        <w:spacing w:before="0" w:after="160"/>
        <w:ind w:left="1080"/>
        <w:jc w:val="left"/>
        <w:rPr>
          <w:sz w:val="22"/>
          <w:szCs w:val="22"/>
        </w:rPr>
      </w:pPr>
      <w:r w:rsidRPr="00FA0EF1">
        <w:rPr>
          <w:sz w:val="22"/>
          <w:szCs w:val="22"/>
        </w:rPr>
        <w:t>Warrant Revolving Fund (32580000)</w:t>
      </w:r>
    </w:p>
    <w:p w14:paraId="5B6478EA" w14:textId="77777777" w:rsidR="00FA0EF1" w:rsidRPr="00FA0EF1" w:rsidRDefault="00FA0EF1" w:rsidP="00FA0EF1">
      <w:pPr>
        <w:pStyle w:val="ListParagraph"/>
        <w:numPr>
          <w:ilvl w:val="0"/>
          <w:numId w:val="58"/>
        </w:numPr>
        <w:spacing w:before="0" w:after="160"/>
        <w:ind w:left="1080"/>
        <w:jc w:val="left"/>
        <w:rPr>
          <w:sz w:val="22"/>
          <w:szCs w:val="22"/>
        </w:rPr>
      </w:pPr>
      <w:r w:rsidRPr="00FA0EF1">
        <w:rPr>
          <w:sz w:val="22"/>
          <w:szCs w:val="22"/>
        </w:rPr>
        <w:t>Litigation Recovery Account (31L30000</w:t>
      </w:r>
      <w:r w:rsidRPr="00FA0EF1">
        <w:rPr>
          <w:sz w:val="22"/>
          <w:szCs w:val="22"/>
        </w:rPr>
        <w:t>)</w:t>
      </w:r>
    </w:p>
    <w:p w14:paraId="43F7D331" w14:textId="3DAE732D" w:rsidR="00021F79" w:rsidRDefault="00FA0EF1" w:rsidP="00FA0EF1">
      <w:pPr>
        <w:pStyle w:val="ListParagraph"/>
        <w:numPr>
          <w:ilvl w:val="0"/>
          <w:numId w:val="58"/>
        </w:numPr>
        <w:spacing w:before="0" w:after="160"/>
        <w:ind w:left="1080"/>
        <w:jc w:val="left"/>
        <w:rPr>
          <w:sz w:val="22"/>
          <w:szCs w:val="22"/>
        </w:rPr>
      </w:pPr>
      <w:r w:rsidRPr="00FA0EF1">
        <w:rPr>
          <w:sz w:val="22"/>
          <w:szCs w:val="22"/>
        </w:rPr>
        <w:t>Unclaimed property fund (38790000)</w:t>
      </w:r>
    </w:p>
    <w:p w14:paraId="5E7F332B" w14:textId="77777777" w:rsidR="00FA0EF1" w:rsidRDefault="00FA0EF1" w:rsidP="00FA0EF1">
      <w:pPr>
        <w:pStyle w:val="ListParagraph"/>
        <w:spacing w:before="0" w:after="160"/>
        <w:ind w:left="1080"/>
        <w:jc w:val="left"/>
        <w:rPr>
          <w:sz w:val="22"/>
          <w:szCs w:val="22"/>
        </w:rPr>
      </w:pPr>
    </w:p>
    <w:p w14:paraId="36EB3A4E" w14:textId="77777777" w:rsidR="00FA0EF1" w:rsidRPr="00FA0EF1" w:rsidRDefault="00FA0EF1" w:rsidP="00FA0EF1">
      <w:pPr>
        <w:pStyle w:val="ListParagraph"/>
        <w:spacing w:before="0" w:after="160"/>
        <w:ind w:left="1080"/>
        <w:jc w:val="left"/>
        <w:rPr>
          <w:sz w:val="22"/>
          <w:szCs w:val="22"/>
        </w:rPr>
      </w:pPr>
    </w:p>
    <w:p w14:paraId="156DE7DA" w14:textId="4E5396B2" w:rsidR="00021F79" w:rsidRDefault="00021F79">
      <w:pPr>
        <w:pStyle w:val="Heading2"/>
      </w:pPr>
      <w:r>
        <w:lastRenderedPageBreak/>
        <w:t>APPENDIX G – SCEIS REPORTS FOR DISTRIBUTION</w:t>
      </w:r>
    </w:p>
    <w:p w14:paraId="781FFF1D" w14:textId="0A836B02" w:rsidR="00021F79" w:rsidRDefault="004E156C" w:rsidP="00021F79">
      <w:r w:rsidRPr="004E156C">
        <w:drawing>
          <wp:inline distT="0" distB="0" distL="0" distR="0" wp14:anchorId="228CABDC" wp14:editId="4E6582BD">
            <wp:extent cx="6756734" cy="3714750"/>
            <wp:effectExtent l="0" t="0" r="6350" b="0"/>
            <wp:docPr id="1526214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9536" cy="3716291"/>
                    </a:xfrm>
                    <a:prstGeom prst="rect">
                      <a:avLst/>
                    </a:prstGeom>
                    <a:noFill/>
                    <a:ln>
                      <a:noFill/>
                    </a:ln>
                  </pic:spPr>
                </pic:pic>
              </a:graphicData>
            </a:graphic>
          </wp:inline>
        </w:drawing>
      </w:r>
    </w:p>
    <w:p w14:paraId="11CE73BC" w14:textId="77777777" w:rsidR="004E156C" w:rsidRPr="004E156C" w:rsidRDefault="004E156C" w:rsidP="004E156C"/>
    <w:p w14:paraId="7A75C41A" w14:textId="77777777" w:rsidR="004E156C" w:rsidRDefault="004E156C" w:rsidP="004E156C"/>
    <w:p w14:paraId="4421AD3B" w14:textId="77777777" w:rsidR="004E156C" w:rsidRPr="004E156C" w:rsidRDefault="004E156C" w:rsidP="004E156C">
      <w:pPr>
        <w:jc w:val="center"/>
      </w:pPr>
    </w:p>
    <w:sectPr w:rsidR="004E156C" w:rsidRPr="004E156C" w:rsidSect="00F77148">
      <w:headerReference w:type="default" r:id="rId29"/>
      <w:footerReference w:type="default" r:id="rId30"/>
      <w:footerReference w:type="first" r:id="rId31"/>
      <w:pgSz w:w="12240" w:h="15840" w:code="1"/>
      <w:pgMar w:top="2448" w:right="1008" w:bottom="1008" w:left="100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B3CB" w14:textId="77777777" w:rsidR="00DF4243" w:rsidRDefault="00DF4243">
      <w:pPr>
        <w:spacing w:before="0" w:after="0"/>
      </w:pPr>
      <w:r>
        <w:separator/>
      </w:r>
    </w:p>
  </w:endnote>
  <w:endnote w:type="continuationSeparator" w:id="0">
    <w:p w14:paraId="46BB32B6" w14:textId="77777777" w:rsidR="00DF4243" w:rsidRDefault="00DF4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562E" w14:textId="1ACB30EE" w:rsidR="001D6B4B" w:rsidRDefault="001D6B4B">
    <w:pPr>
      <w:pStyle w:val="Footer"/>
      <w:jc w:val="left"/>
      <w:rPr>
        <w:sz w:val="16"/>
        <w:szCs w:val="16"/>
      </w:rPr>
    </w:pPr>
    <w:r w:rsidRPr="003510DE">
      <w:rPr>
        <w:sz w:val="16"/>
        <w:szCs w:val="16"/>
      </w:rPr>
      <w:t xml:space="preserve">updated </w:t>
    </w:r>
    <w:r w:rsidR="00FC679E">
      <w:rPr>
        <w:sz w:val="16"/>
        <w:szCs w:val="16"/>
      </w:rPr>
      <w:t>5/</w:t>
    </w:r>
    <w:r w:rsidR="00C26F7E">
      <w:rPr>
        <w:sz w:val="16"/>
        <w:szCs w:val="16"/>
      </w:rPr>
      <w:t>30/2025</w:t>
    </w:r>
  </w:p>
  <w:p w14:paraId="1B0CF4AF" w14:textId="0596D924" w:rsidR="001D6B4B" w:rsidRPr="000816ED" w:rsidRDefault="001D6B4B">
    <w:pPr>
      <w:pStyle w:val="Footer"/>
      <w:jc w:val="left"/>
      <w:rPr>
        <w:sz w:val="16"/>
        <w:szCs w:val="16"/>
      </w:rPr>
    </w:pPr>
    <w:r>
      <w:tab/>
    </w:r>
    <w:r>
      <w:tab/>
    </w:r>
    <w:r>
      <w:tab/>
    </w:r>
    <w:sdt>
      <w:sdtPr>
        <w:id w:val="8898407"/>
        <w:docPartObj>
          <w:docPartGallery w:val="Page Numbers (Bottom of Page)"/>
          <w:docPartUnique/>
        </w:docPartObj>
      </w:sdtPr>
      <w:sdtEndPr/>
      <w:sdtContent>
        <w:r>
          <w:fldChar w:fldCharType="begin"/>
        </w:r>
        <w:r>
          <w:instrText xml:space="preserve"> PAGE   \* MERGEFORMAT </w:instrText>
        </w:r>
        <w:r>
          <w:fldChar w:fldCharType="separate"/>
        </w:r>
        <w:r>
          <w:rPr>
            <w:noProof/>
          </w:rPr>
          <w:t>123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8210" w14:textId="6D01B833" w:rsidR="001D6B4B" w:rsidRDefault="001D6B4B">
    <w:pPr>
      <w:pStyle w:val="Footer"/>
      <w:rPr>
        <w:sz w:val="16"/>
        <w:szCs w:val="16"/>
      </w:rPr>
    </w:pPr>
    <w:r w:rsidRPr="003510DE">
      <w:rPr>
        <w:sz w:val="16"/>
        <w:szCs w:val="16"/>
      </w:rPr>
      <w:t xml:space="preserve">updated </w:t>
    </w:r>
    <w:r w:rsidR="004806FF">
      <w:rPr>
        <w:sz w:val="16"/>
        <w:szCs w:val="16"/>
      </w:rPr>
      <w:t>5</w:t>
    </w:r>
    <w:r w:rsidR="00C26F7E">
      <w:rPr>
        <w:sz w:val="16"/>
        <w:szCs w:val="16"/>
      </w:rPr>
      <w:t>/30/2025</w:t>
    </w:r>
  </w:p>
  <w:p w14:paraId="6CA66D10" w14:textId="2368AC8A" w:rsidR="001D6B4B" w:rsidRPr="00435298" w:rsidRDefault="001D6B4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02C2" w14:textId="77777777" w:rsidR="00DF4243" w:rsidRDefault="00DF4243">
      <w:pPr>
        <w:spacing w:before="0" w:after="0"/>
      </w:pPr>
      <w:r>
        <w:separator/>
      </w:r>
    </w:p>
  </w:footnote>
  <w:footnote w:type="continuationSeparator" w:id="0">
    <w:p w14:paraId="2092E2B6" w14:textId="77777777" w:rsidR="00DF4243" w:rsidRDefault="00DF4243">
      <w:pPr>
        <w:spacing w:before="0" w:after="0"/>
      </w:pPr>
      <w:r>
        <w:continuationSeparator/>
      </w:r>
    </w:p>
  </w:footnote>
  <w:footnote w:id="1">
    <w:p w14:paraId="028F4ED5" w14:textId="77777777" w:rsidR="001D6B4B" w:rsidRDefault="001D6B4B">
      <w:pPr>
        <w:pStyle w:val="FootnoteText"/>
        <w:ind w:left="270" w:hanging="270"/>
      </w:pPr>
      <w:r>
        <w:rPr>
          <w:rStyle w:val="FootnoteReference"/>
        </w:rPr>
        <w:footnoteRef/>
      </w:r>
      <w:r>
        <w:t xml:space="preserve"> The review of the trial balance (general ledger balances) should be to identify unexpected balances, the lack of balances when amounts are expected, larger than expected balances, or smaller than expected balances.  Expectations are based on the knowledge of the operations of the agency more than prior year balances or budgetary constraints.  All general ledgers and funds at a minimum should be evaluated.  Where the agency should focus its attention is determined by the risk assessment for the agency in its design and implementation of controls.  The focus should not be the same for all agencies as each business is different.  The focus may be at a different level of data element for some agencies.</w:t>
      </w:r>
    </w:p>
  </w:footnote>
  <w:footnote w:id="2">
    <w:p w14:paraId="4ECFF0CF" w14:textId="77777777" w:rsidR="001D6B4B" w:rsidRDefault="001D6B4B">
      <w:pPr>
        <w:pStyle w:val="FootnoteText"/>
      </w:pPr>
      <w:r>
        <w:rPr>
          <w:rStyle w:val="FootnoteReference"/>
        </w:rPr>
        <w:footnoteRef/>
      </w:r>
      <w:r>
        <w:t xml:space="preserve"> See Glossary for definition of this key term.</w:t>
      </w:r>
    </w:p>
  </w:footnote>
  <w:footnote w:id="3">
    <w:p w14:paraId="1A560E38" w14:textId="77777777" w:rsidR="001D6B4B" w:rsidRDefault="001D6B4B" w:rsidP="00E8587D">
      <w:pPr>
        <w:pStyle w:val="FootnoteText"/>
      </w:pPr>
      <w:r>
        <w:rPr>
          <w:rStyle w:val="FootnoteReference"/>
        </w:rPr>
        <w:footnoteRef/>
      </w:r>
      <w:r>
        <w:t xml:space="preserve"> See Glossary for definition of this key term.</w:t>
      </w:r>
    </w:p>
  </w:footnote>
  <w:footnote w:id="4">
    <w:p w14:paraId="726C3CBA" w14:textId="77777777" w:rsidR="001D6B4B" w:rsidRDefault="001D6B4B">
      <w:pPr>
        <w:pStyle w:val="FootnoteText"/>
      </w:pPr>
      <w:r>
        <w:rPr>
          <w:rStyle w:val="FootnoteReference"/>
        </w:rPr>
        <w:footnoteRef/>
      </w:r>
      <w:r>
        <w:t xml:space="preserve"> </w:t>
      </w:r>
      <w:r w:rsidRPr="00E8587D">
        <w:rPr>
          <w:szCs w:val="24"/>
        </w:rPr>
        <w:t>GASB</w:t>
      </w:r>
      <w:r>
        <w:rPr>
          <w:szCs w:val="24"/>
        </w:rPr>
        <w:t xml:space="preserve"> </w:t>
      </w:r>
      <w:r w:rsidRPr="00E8587D">
        <w:rPr>
          <w:szCs w:val="24"/>
        </w:rPr>
        <w:t>S</w:t>
      </w:r>
      <w:r>
        <w:rPr>
          <w:szCs w:val="24"/>
        </w:rPr>
        <w:t>tatement No.</w:t>
      </w:r>
      <w:r w:rsidRPr="00E8587D">
        <w:rPr>
          <w:szCs w:val="24"/>
        </w:rPr>
        <w:t xml:space="preserve"> 56, ¶8</w:t>
      </w:r>
    </w:p>
  </w:footnote>
  <w:footnote w:id="5">
    <w:p w14:paraId="3D62A93A" w14:textId="77777777" w:rsidR="001D6B4B" w:rsidRDefault="001D6B4B">
      <w:pPr>
        <w:pStyle w:val="FootnoteText"/>
      </w:pPr>
      <w:r>
        <w:rPr>
          <w:rStyle w:val="FootnoteReference"/>
        </w:rPr>
        <w:footnoteRef/>
      </w:r>
      <w:r>
        <w:t xml:space="preserve">  </w:t>
      </w:r>
      <w:r w:rsidRPr="00E8587D">
        <w:rPr>
          <w:szCs w:val="24"/>
        </w:rPr>
        <w:t>Subsequent events such as changes in the quoted market prices of securities ordinarily should not result in adjustment of the financial statements because such changes typically reflect a concurrent evaluation of new conditions.</w:t>
      </w:r>
    </w:p>
  </w:footnote>
  <w:footnote w:id="6">
    <w:p w14:paraId="0D02E114" w14:textId="77777777" w:rsidR="001D6B4B" w:rsidRDefault="001D6B4B">
      <w:pPr>
        <w:pStyle w:val="FootnoteText"/>
      </w:pPr>
      <w:r>
        <w:rPr>
          <w:rStyle w:val="FootnoteReference"/>
        </w:rPr>
        <w:footnoteRef/>
      </w:r>
      <w:r>
        <w:t xml:space="preserve"> See Glossary for definition of this key term.</w:t>
      </w:r>
    </w:p>
  </w:footnote>
  <w:footnote w:id="7">
    <w:p w14:paraId="428168EC" w14:textId="77777777" w:rsidR="001D6B4B" w:rsidRDefault="001D6B4B" w:rsidP="00440A89">
      <w:pPr>
        <w:pStyle w:val="FootnoteText"/>
      </w:pPr>
      <w:r>
        <w:rPr>
          <w:rStyle w:val="FootnoteReference"/>
        </w:rPr>
        <w:footnoteRef/>
      </w:r>
      <w:r>
        <w:t xml:space="preserve"> See Glossary for definition of this key term.</w:t>
      </w:r>
    </w:p>
  </w:footnote>
  <w:footnote w:id="8">
    <w:p w14:paraId="79A30976" w14:textId="77777777" w:rsidR="001D6B4B" w:rsidRDefault="001D6B4B" w:rsidP="00440A89">
      <w:pPr>
        <w:pStyle w:val="FootnoteText"/>
      </w:pPr>
      <w:r>
        <w:rPr>
          <w:rStyle w:val="FootnoteReference"/>
        </w:rPr>
        <w:footnoteRef/>
      </w:r>
      <w:r>
        <w:t xml:space="preserve"> See Glossary for definition of this key term.</w:t>
      </w:r>
    </w:p>
  </w:footnote>
  <w:footnote w:id="9">
    <w:p w14:paraId="7EAEEB00" w14:textId="77777777" w:rsidR="001D6B4B" w:rsidRDefault="001D6B4B" w:rsidP="00440A89">
      <w:pPr>
        <w:pStyle w:val="FootnoteText"/>
      </w:pPr>
      <w:r>
        <w:rPr>
          <w:rStyle w:val="FootnoteReference"/>
        </w:rPr>
        <w:footnoteRef/>
      </w:r>
      <w:r>
        <w:t xml:space="preserve"> See Glossary for definition of this key term.</w:t>
      </w:r>
    </w:p>
  </w:footnote>
  <w:footnote w:id="10">
    <w:p w14:paraId="177A5803" w14:textId="77777777" w:rsidR="001D6B4B" w:rsidRDefault="001D6B4B" w:rsidP="00440A89">
      <w:pPr>
        <w:pStyle w:val="FootnoteText"/>
      </w:pPr>
      <w:r>
        <w:rPr>
          <w:rStyle w:val="FootnoteReference"/>
        </w:rPr>
        <w:footnoteRef/>
      </w:r>
      <w:r>
        <w:t xml:space="preserve"> See Glossary for definition of this key term.</w:t>
      </w:r>
    </w:p>
  </w:footnote>
  <w:footnote w:id="11">
    <w:p w14:paraId="4B8F2C0D" w14:textId="77777777" w:rsidR="001D6B4B" w:rsidRDefault="001D6B4B" w:rsidP="00440A89">
      <w:pPr>
        <w:pStyle w:val="FootnoteText"/>
      </w:pPr>
      <w:r>
        <w:rPr>
          <w:rStyle w:val="FootnoteReference"/>
        </w:rPr>
        <w:footnoteRef/>
      </w:r>
      <w:r>
        <w:t xml:space="preserve"> See Glossary for definition of this key term.</w:t>
      </w:r>
    </w:p>
  </w:footnote>
  <w:footnote w:id="12">
    <w:p w14:paraId="4E99DB12" w14:textId="77777777" w:rsidR="001D6B4B" w:rsidRDefault="001D6B4B" w:rsidP="00440A89">
      <w:pPr>
        <w:pStyle w:val="FootnoteText"/>
      </w:pPr>
      <w:r>
        <w:rPr>
          <w:rStyle w:val="FootnoteReference"/>
        </w:rPr>
        <w:footnoteRef/>
      </w:r>
      <w:r>
        <w:t xml:space="preserve"> See Glossary for definition of this key term.</w:t>
      </w:r>
    </w:p>
  </w:footnote>
  <w:footnote w:id="13">
    <w:p w14:paraId="7F760E0A" w14:textId="77777777" w:rsidR="001D6B4B" w:rsidRDefault="001D6B4B" w:rsidP="00440A89">
      <w:pPr>
        <w:pStyle w:val="FootnoteText"/>
      </w:pPr>
      <w:r>
        <w:rPr>
          <w:rStyle w:val="FootnoteReference"/>
        </w:rPr>
        <w:footnoteRef/>
      </w:r>
      <w:r>
        <w:t xml:space="preserve"> See Glossary for definition of this key term.</w:t>
      </w:r>
    </w:p>
  </w:footnote>
  <w:footnote w:id="14">
    <w:p w14:paraId="6F0580ED" w14:textId="77777777" w:rsidR="001D6B4B" w:rsidRDefault="001D6B4B" w:rsidP="00440A89">
      <w:pPr>
        <w:pStyle w:val="FootnoteText"/>
      </w:pPr>
      <w:r>
        <w:rPr>
          <w:rStyle w:val="FootnoteReference"/>
        </w:rPr>
        <w:footnoteRef/>
      </w:r>
      <w:r>
        <w:t xml:space="preserve"> See Glossary for definition of this key term.</w:t>
      </w:r>
    </w:p>
  </w:footnote>
  <w:footnote w:id="15">
    <w:p w14:paraId="4130087F" w14:textId="77777777" w:rsidR="001D6B4B" w:rsidRDefault="001D6B4B" w:rsidP="00440A89">
      <w:pPr>
        <w:pStyle w:val="FootnoteText"/>
      </w:pPr>
      <w:r>
        <w:rPr>
          <w:rStyle w:val="FootnoteReference"/>
        </w:rPr>
        <w:footnoteRef/>
      </w:r>
      <w:r>
        <w:t xml:space="preserve"> See Glossary for definition of this key term.</w:t>
      </w:r>
    </w:p>
  </w:footnote>
  <w:footnote w:id="16">
    <w:p w14:paraId="6AC2C87A" w14:textId="77777777" w:rsidR="001D6B4B" w:rsidRDefault="001D6B4B" w:rsidP="00440A89">
      <w:pPr>
        <w:pStyle w:val="FootnoteText"/>
      </w:pPr>
      <w:r>
        <w:rPr>
          <w:rStyle w:val="FootnoteReference"/>
        </w:rPr>
        <w:footnoteRef/>
      </w:r>
      <w:r>
        <w:t xml:space="preserve"> See Glossary for definition of this key term.</w:t>
      </w:r>
    </w:p>
  </w:footnote>
  <w:footnote w:id="17">
    <w:p w14:paraId="4D91D014" w14:textId="77777777" w:rsidR="001D6B4B" w:rsidRDefault="001D6B4B" w:rsidP="00440A89">
      <w:pPr>
        <w:pStyle w:val="FootnoteText"/>
      </w:pPr>
      <w:r>
        <w:rPr>
          <w:rStyle w:val="FootnoteReference"/>
        </w:rPr>
        <w:footnoteRef/>
      </w:r>
      <w:r>
        <w:t xml:space="preserve"> See Glossary for definition of this key term.</w:t>
      </w:r>
    </w:p>
  </w:footnote>
  <w:footnote w:id="18">
    <w:p w14:paraId="6DE86E59" w14:textId="77777777" w:rsidR="001D6B4B" w:rsidRDefault="001D6B4B" w:rsidP="00440A89">
      <w:pPr>
        <w:pStyle w:val="FootnoteText"/>
      </w:pPr>
      <w:r>
        <w:rPr>
          <w:rStyle w:val="FootnoteReference"/>
        </w:rPr>
        <w:footnoteRef/>
      </w:r>
      <w:r>
        <w:t xml:space="preserve"> See Glossary for definition of this key term.</w:t>
      </w:r>
    </w:p>
  </w:footnote>
  <w:footnote w:id="19">
    <w:p w14:paraId="08DE396E" w14:textId="77777777" w:rsidR="001D6B4B" w:rsidRDefault="001D6B4B" w:rsidP="00440A89">
      <w:pPr>
        <w:pStyle w:val="FootnoteText"/>
      </w:pPr>
      <w:r>
        <w:rPr>
          <w:rStyle w:val="FootnoteReference"/>
        </w:rPr>
        <w:footnoteRef/>
      </w:r>
      <w:r>
        <w:t xml:space="preserve"> See Glossary for definition of this key term.</w:t>
      </w:r>
    </w:p>
  </w:footnote>
  <w:footnote w:id="20">
    <w:p w14:paraId="504DF66B" w14:textId="77777777" w:rsidR="001D6B4B" w:rsidRDefault="001D6B4B" w:rsidP="00440A89">
      <w:pPr>
        <w:pStyle w:val="FootnoteText"/>
      </w:pPr>
      <w:r>
        <w:rPr>
          <w:rStyle w:val="FootnoteReference"/>
        </w:rPr>
        <w:footnoteRef/>
      </w:r>
      <w:r>
        <w:t xml:space="preserve"> See Glossary for definition of this key term.</w:t>
      </w:r>
    </w:p>
  </w:footnote>
  <w:footnote w:id="21">
    <w:p w14:paraId="59F34F52" w14:textId="77777777" w:rsidR="001D6B4B" w:rsidRDefault="001D6B4B">
      <w:pPr>
        <w:pStyle w:val="FootnoteText"/>
      </w:pPr>
      <w:r>
        <w:rPr>
          <w:rStyle w:val="FootnoteReference"/>
        </w:rPr>
        <w:footnoteRef/>
      </w:r>
      <w:r>
        <w:t xml:space="preserve"> This is the required schedule prepared by a recipient of federal awards in accordance with OMB A-133 §_.310(b).</w:t>
      </w:r>
    </w:p>
  </w:footnote>
  <w:footnote w:id="22">
    <w:p w14:paraId="62056273" w14:textId="77777777" w:rsidR="001D6B4B" w:rsidRPr="00E70581" w:rsidRDefault="001D6B4B" w:rsidP="009B555D">
      <w:pPr>
        <w:pStyle w:val="FootnoteText"/>
        <w:ind w:left="270" w:hanging="270"/>
      </w:pPr>
      <w:r w:rsidRPr="00E70581">
        <w:rPr>
          <w:rStyle w:val="FootnoteReference"/>
        </w:rPr>
        <w:footnoteRef/>
      </w:r>
      <w:r w:rsidRPr="00E70581">
        <w:t xml:space="preserve"> FASB Concept Statements with Account Standards have been combined as the FASB Accounting Standards Codification (ASC).  The ASC should be referenced for further guidance.</w:t>
      </w:r>
    </w:p>
  </w:footnote>
  <w:footnote w:id="23">
    <w:p w14:paraId="039EC6B3" w14:textId="77777777" w:rsidR="001D6B4B" w:rsidRDefault="001D6B4B" w:rsidP="009B555D">
      <w:pPr>
        <w:pStyle w:val="FootnoteText"/>
        <w:ind w:left="270" w:hanging="270"/>
      </w:pPr>
      <w:r>
        <w:rPr>
          <w:rStyle w:val="FootnoteReference"/>
        </w:rPr>
        <w:footnoteRef/>
      </w:r>
      <w:r>
        <w:t xml:space="preserve"> Section 1600.110 of the </w:t>
      </w:r>
      <w:r>
        <w:rPr>
          <w:i/>
          <w:iCs/>
        </w:rPr>
        <w:t>Codification of Governmental Accounting and Financial Reporting Standards</w:t>
      </w:r>
      <w:r w:rsidRPr="001E5735">
        <w:rPr>
          <w:iCs/>
        </w:rPr>
        <w:t xml:space="preserve"> provides guidance that these should not result in an accrual based on </w:t>
      </w:r>
      <w:r>
        <w:rPr>
          <w:iCs/>
        </w:rPr>
        <w:t>the</w:t>
      </w:r>
      <w:r w:rsidRPr="001E5735">
        <w:rPr>
          <w:iCs/>
        </w:rPr>
        <w:t xml:space="preserve"> transactional properties.</w:t>
      </w:r>
    </w:p>
  </w:footnote>
  <w:footnote w:id="24">
    <w:p w14:paraId="7D396A3C" w14:textId="77777777" w:rsidR="001D6B4B" w:rsidRDefault="001D6B4B" w:rsidP="00440A89">
      <w:pPr>
        <w:pStyle w:val="FootnoteText"/>
      </w:pPr>
      <w:r>
        <w:rPr>
          <w:rStyle w:val="FootnoteReference"/>
        </w:rPr>
        <w:footnoteRef/>
      </w:r>
      <w:r>
        <w:t xml:space="preserve"> See Glossary for definition of this key term.</w:t>
      </w:r>
    </w:p>
  </w:footnote>
  <w:footnote w:id="25">
    <w:p w14:paraId="1EAD7C41" w14:textId="77777777" w:rsidR="001D6B4B" w:rsidRDefault="001D6B4B" w:rsidP="00440A89">
      <w:pPr>
        <w:pStyle w:val="FootnoteText"/>
      </w:pPr>
      <w:r>
        <w:rPr>
          <w:rStyle w:val="FootnoteReference"/>
        </w:rPr>
        <w:footnoteRef/>
      </w:r>
      <w:r>
        <w:t xml:space="preserve"> See Glossary for definition of this key term.</w:t>
      </w:r>
    </w:p>
  </w:footnote>
  <w:footnote w:id="26">
    <w:p w14:paraId="00849838" w14:textId="77777777" w:rsidR="001D6B4B" w:rsidRDefault="001D6B4B" w:rsidP="00440A89">
      <w:pPr>
        <w:pStyle w:val="FootnoteText"/>
      </w:pPr>
      <w:r>
        <w:rPr>
          <w:rStyle w:val="FootnoteReference"/>
        </w:rPr>
        <w:footnoteRef/>
      </w:r>
      <w:r>
        <w:t xml:space="preserve"> See Glossary for definition of this key term.</w:t>
      </w:r>
    </w:p>
  </w:footnote>
  <w:footnote w:id="27">
    <w:p w14:paraId="79D03E35" w14:textId="77777777" w:rsidR="001D6B4B" w:rsidRDefault="001D6B4B" w:rsidP="001D3E8E">
      <w:pPr>
        <w:pStyle w:val="FootnoteText"/>
      </w:pPr>
      <w:r>
        <w:rPr>
          <w:rStyle w:val="FootnoteReference"/>
        </w:rPr>
        <w:footnoteRef/>
      </w:r>
      <w:r>
        <w:t xml:space="preserve"> See Glossary for definition of this key term.</w:t>
      </w:r>
    </w:p>
  </w:footnote>
  <w:footnote w:id="28">
    <w:p w14:paraId="325C1A11" w14:textId="77777777" w:rsidR="001D6B4B" w:rsidRDefault="001D6B4B" w:rsidP="001D3E8E">
      <w:pPr>
        <w:pStyle w:val="FootnoteText"/>
      </w:pPr>
      <w:r>
        <w:rPr>
          <w:rStyle w:val="FootnoteReference"/>
        </w:rPr>
        <w:footnoteRef/>
      </w:r>
      <w:r>
        <w:t xml:space="preserve"> See Glossary for definition of this key term.</w:t>
      </w:r>
    </w:p>
  </w:footnote>
  <w:footnote w:id="29">
    <w:p w14:paraId="1260C702" w14:textId="77777777" w:rsidR="001D6B4B" w:rsidRDefault="001D6B4B" w:rsidP="001D3E8E">
      <w:pPr>
        <w:pStyle w:val="FootnoteText"/>
      </w:pPr>
      <w:r>
        <w:rPr>
          <w:rStyle w:val="FootnoteReference"/>
        </w:rPr>
        <w:footnoteRef/>
      </w:r>
      <w:r>
        <w:t xml:space="preserve"> See Glossary for definition of this key term.</w:t>
      </w:r>
    </w:p>
  </w:footnote>
  <w:footnote w:id="30">
    <w:p w14:paraId="25BF607C" w14:textId="58CADA0B" w:rsidR="001D6B4B" w:rsidRDefault="001D6B4B" w:rsidP="001D3E8E">
      <w:pPr>
        <w:pStyle w:val="FootnoteText"/>
      </w:pPr>
      <w:r>
        <w:rPr>
          <w:rStyle w:val="FootnoteReference"/>
        </w:rPr>
        <w:footnoteRef/>
      </w:r>
      <w:r w:rsidRPr="003F398B">
        <w:t xml:space="preserve"> </w:t>
      </w:r>
      <w:r>
        <w:t>See Glossary for definition of this key term.</w:t>
      </w:r>
    </w:p>
  </w:footnote>
  <w:footnote w:id="31">
    <w:p w14:paraId="39E536D6" w14:textId="5E8A7756" w:rsidR="001D6B4B" w:rsidRDefault="001D6B4B" w:rsidP="001D3E8E">
      <w:pPr>
        <w:pStyle w:val="FootnoteText"/>
      </w:pPr>
      <w:r>
        <w:rPr>
          <w:rStyle w:val="FootnoteReference"/>
        </w:rPr>
        <w:footnoteRef/>
      </w:r>
      <w:r>
        <w:t xml:space="preserve"> See Glossary for definition of this key term.</w:t>
      </w:r>
    </w:p>
  </w:footnote>
  <w:footnote w:id="32">
    <w:p w14:paraId="297575A7" w14:textId="77777777" w:rsidR="001D6B4B" w:rsidRDefault="001D6B4B" w:rsidP="001D3E8E">
      <w:pPr>
        <w:pStyle w:val="FootnoteText"/>
      </w:pPr>
      <w:r>
        <w:rPr>
          <w:rStyle w:val="FootnoteReference"/>
        </w:rPr>
        <w:footnoteRef/>
      </w:r>
      <w:r>
        <w:t xml:space="preserve"> See Glossary for definition of this key term.</w:t>
      </w:r>
    </w:p>
  </w:footnote>
  <w:footnote w:id="33">
    <w:p w14:paraId="522E9435" w14:textId="6C4D14FB" w:rsidR="00A977AC" w:rsidRDefault="00A977AC" w:rsidP="00A977AC">
      <w:pPr>
        <w:pStyle w:val="FootnoteText"/>
      </w:pPr>
      <w:r>
        <w:rPr>
          <w:rStyle w:val="FootnoteReference"/>
        </w:rPr>
        <w:footnoteRef/>
      </w:r>
      <w:r>
        <w:t xml:space="preserve"> Consistent with GASB 87, “accumulated amortization” is the same as accumulated depreciation, calculated using the asset’s </w:t>
      </w:r>
      <w:r>
        <w:rPr>
          <w:i/>
          <w:iCs/>
        </w:rPr>
        <w:t>economic life</w:t>
      </w:r>
      <w:r>
        <w:t xml:space="preserve">, if the lease agreement transfers ownership to the lessee or contains a bargain purchase option.  Otherwise, the lessee should amortize the lease </w:t>
      </w:r>
      <w:r>
        <w:rPr>
          <w:i/>
          <w:iCs/>
        </w:rPr>
        <w:t xml:space="preserve">over the </w:t>
      </w:r>
      <w:r w:rsidR="00103363">
        <w:rPr>
          <w:i/>
          <w:iCs/>
        </w:rPr>
        <w:t xml:space="preserve">lesser of the economic life and the </w:t>
      </w:r>
      <w:r>
        <w:rPr>
          <w:i/>
          <w:iCs/>
        </w:rPr>
        <w:t>term of the lease</w:t>
      </w:r>
      <w:r>
        <w:t>.</w:t>
      </w:r>
    </w:p>
  </w:footnote>
  <w:footnote w:id="34">
    <w:p w14:paraId="0AF2BE96" w14:textId="77777777" w:rsidR="001D6B4B" w:rsidRDefault="001D6B4B" w:rsidP="00AD33F9">
      <w:pPr>
        <w:pStyle w:val="FootnoteText"/>
        <w:ind w:left="270" w:hanging="270"/>
      </w:pPr>
      <w:r>
        <w:rPr>
          <w:rStyle w:val="FootnoteReference"/>
        </w:rPr>
        <w:footnoteRef/>
      </w:r>
      <w:r>
        <w:t xml:space="preserve"> See Glossary for definition of this key term.</w:t>
      </w:r>
    </w:p>
  </w:footnote>
  <w:footnote w:id="35">
    <w:p w14:paraId="68FD7A8A" w14:textId="75F13E8A" w:rsidR="002D13C4" w:rsidRDefault="002D13C4" w:rsidP="002D13C4">
      <w:pPr>
        <w:pStyle w:val="FootnoteText"/>
      </w:pPr>
      <w:r>
        <w:rPr>
          <w:rStyle w:val="FootnoteReference"/>
        </w:rPr>
        <w:footnoteRef/>
      </w:r>
      <w:r>
        <w:t xml:space="preserve"> Consistent with GASB </w:t>
      </w:r>
      <w:r w:rsidR="006513E5">
        <w:t>96</w:t>
      </w:r>
      <w:r>
        <w:t xml:space="preserve">, “accumulated amortization” is the same as accumulated depreciation, calculated using the </w:t>
      </w:r>
      <w:r w:rsidR="00986E2F">
        <w:t xml:space="preserve">lesser of the </w:t>
      </w:r>
      <w:r>
        <w:t xml:space="preserve">asset’s </w:t>
      </w:r>
      <w:r>
        <w:rPr>
          <w:i/>
          <w:iCs/>
        </w:rPr>
        <w:t>economic life</w:t>
      </w:r>
      <w:r w:rsidR="00986E2F">
        <w:t xml:space="preserve"> or </w:t>
      </w:r>
      <w:r w:rsidR="006513E5">
        <w:rPr>
          <w:i/>
          <w:iCs/>
        </w:rPr>
        <w:t>subscription term</w:t>
      </w:r>
      <w:r>
        <w:t>.</w:t>
      </w:r>
    </w:p>
  </w:footnote>
  <w:footnote w:id="36">
    <w:p w14:paraId="41838F1C" w14:textId="77777777" w:rsidR="001D6B4B" w:rsidRPr="001A3D9E" w:rsidRDefault="001D6B4B" w:rsidP="00CE1C4E">
      <w:pPr>
        <w:pStyle w:val="FootnoteText"/>
        <w:ind w:left="270" w:hanging="270"/>
      </w:pPr>
      <w:r w:rsidRPr="001A3D9E">
        <w:rPr>
          <w:rStyle w:val="FootnoteReference"/>
        </w:rPr>
        <w:footnoteRef/>
      </w:r>
      <w:r w:rsidRPr="001A3D9E">
        <w:t xml:space="preserve"> Refer to the Grant</w:t>
      </w:r>
      <w:r>
        <w:t xml:space="preserve">s and </w:t>
      </w:r>
      <w:r w:rsidRPr="001A3D9E">
        <w:t xml:space="preserve">Contribution Revenues in Section </w:t>
      </w:r>
      <w:r>
        <w:t>_</w:t>
      </w:r>
      <w:r w:rsidRPr="001A3D9E">
        <w:t xml:space="preserve">.3 of </w:t>
      </w:r>
      <w:r>
        <w:t xml:space="preserve">Part III of </w:t>
      </w:r>
      <w:r w:rsidRPr="001A3D9E">
        <w:t>this manual for definitions of eligibility requirements.</w:t>
      </w:r>
    </w:p>
  </w:footnote>
  <w:footnote w:id="37">
    <w:p w14:paraId="6F15EEF9" w14:textId="77777777" w:rsidR="001D6B4B" w:rsidRPr="001A3D9E" w:rsidRDefault="001D6B4B" w:rsidP="00CE1C4E">
      <w:pPr>
        <w:pStyle w:val="FootnoteText"/>
        <w:ind w:left="270" w:hanging="270"/>
      </w:pPr>
      <w:r w:rsidRPr="001A3D9E">
        <w:rPr>
          <w:rStyle w:val="FootnoteReference"/>
        </w:rPr>
        <w:footnoteRef/>
      </w:r>
      <w:r w:rsidRPr="001A3D9E">
        <w:t xml:space="preserve"> The Comptroller General’s Office has determined that all Federal grants and all State grants to other entities include the eligibility requirement</w:t>
      </w:r>
      <w:r>
        <w:t>.  That is, for purposes of state financial</w:t>
      </w:r>
      <w:r w:rsidRPr="001A3D9E">
        <w:t xml:space="preserve"> </w:t>
      </w:r>
      <w:r>
        <w:t>reporting</w:t>
      </w:r>
      <w:r w:rsidRPr="001A3D9E">
        <w:t xml:space="preserve">, </w:t>
      </w:r>
      <w:proofErr w:type="gramStart"/>
      <w:r w:rsidRPr="001A3D9E">
        <w:t>in order to</w:t>
      </w:r>
      <w:proofErr w:type="gramEnd"/>
      <w:r w:rsidRPr="001A3D9E">
        <w:t xml:space="preserve"> report an Accounts Payable to a grantee or grant subrecipient, the grant</w:t>
      </w:r>
      <w:r>
        <w:t>ee</w:t>
      </w:r>
      <w:r w:rsidRPr="001A3D9E">
        <w:t xml:space="preserve"> or subrecipient must have </w:t>
      </w:r>
      <w:r>
        <w:t xml:space="preserve">met the eligibility requirements as of </w:t>
      </w:r>
      <w:r w:rsidRPr="001A3D9E">
        <w:t>June 30.</w:t>
      </w:r>
    </w:p>
  </w:footnote>
  <w:footnote w:id="38">
    <w:p w14:paraId="377DC370" w14:textId="77777777" w:rsidR="001D6B4B" w:rsidRPr="001A3D9E" w:rsidRDefault="001D6B4B" w:rsidP="00CE1C4E">
      <w:pPr>
        <w:pStyle w:val="FootnoteText"/>
        <w:ind w:left="270" w:hanging="270"/>
      </w:pPr>
      <w:r w:rsidRPr="001A3D9E">
        <w:rPr>
          <w:rStyle w:val="FootnoteReference"/>
        </w:rPr>
        <w:footnoteRef/>
      </w:r>
      <w:r>
        <w:t xml:space="preserve"> Please see </w:t>
      </w:r>
      <w:r w:rsidRPr="001A3D9E">
        <w:t xml:space="preserve">Interfund Payables in Section </w:t>
      </w:r>
      <w:r>
        <w:t>_</w:t>
      </w:r>
      <w:r w:rsidRPr="001A3D9E">
        <w:t>.18</w:t>
      </w:r>
      <w:r>
        <w:t xml:space="preserve"> of Part III of this manual</w:t>
      </w:r>
      <w:r w:rsidRPr="001A3D9E">
        <w:t>.</w:t>
      </w:r>
    </w:p>
  </w:footnote>
  <w:footnote w:id="39">
    <w:p w14:paraId="6EBF78A0" w14:textId="77777777" w:rsidR="001D6B4B" w:rsidRPr="001A3D9E" w:rsidRDefault="001D6B4B" w:rsidP="00CE1C4E">
      <w:pPr>
        <w:pStyle w:val="FootnoteText"/>
        <w:ind w:left="180" w:hanging="180"/>
      </w:pPr>
      <w:r w:rsidRPr="001A3D9E">
        <w:rPr>
          <w:rStyle w:val="FootnoteReference"/>
        </w:rPr>
        <w:footnoteRef/>
      </w:r>
      <w:r w:rsidRPr="001A3D9E">
        <w:t xml:space="preserve"> GASB Codification Sections 1800.116-1800.125.</w:t>
      </w:r>
    </w:p>
  </w:footnote>
  <w:footnote w:id="40">
    <w:p w14:paraId="42838344" w14:textId="77777777" w:rsidR="001D6B4B" w:rsidRPr="001A3D9E" w:rsidRDefault="001D6B4B" w:rsidP="00CE1C4E">
      <w:pPr>
        <w:pStyle w:val="FootnoteText"/>
        <w:ind w:left="180" w:hanging="180"/>
      </w:pPr>
      <w:r w:rsidRPr="001A3D9E">
        <w:rPr>
          <w:rStyle w:val="FootnoteReference"/>
        </w:rPr>
        <w:footnoteRef/>
      </w:r>
      <w:r w:rsidRPr="001A3D9E">
        <w:t xml:space="preserve"> GASB Codification Sections 1600.116-1600.127 outline the rules for expenditure recognition.</w:t>
      </w:r>
    </w:p>
  </w:footnote>
  <w:footnote w:id="41">
    <w:p w14:paraId="4A4FAC55" w14:textId="77777777" w:rsidR="001D6B4B" w:rsidRPr="001A3D9E" w:rsidRDefault="001D6B4B" w:rsidP="00CE1C4E">
      <w:pPr>
        <w:rPr>
          <w:sz w:val="20"/>
        </w:rPr>
      </w:pPr>
      <w:r w:rsidRPr="001A3D9E">
        <w:rPr>
          <w:rStyle w:val="FootnoteReference"/>
          <w:sz w:val="20"/>
        </w:rPr>
        <w:footnoteRef/>
      </w:r>
      <w:r w:rsidRPr="001A3D9E">
        <w:rPr>
          <w:sz w:val="20"/>
        </w:rPr>
        <w:t xml:space="preserve"> GASB Codification Sections 1600.128 and 1800.139.</w:t>
      </w:r>
    </w:p>
  </w:footnote>
  <w:footnote w:id="42">
    <w:p w14:paraId="6D93108B" w14:textId="77777777" w:rsidR="001D6B4B" w:rsidRPr="005D0457" w:rsidRDefault="001D6B4B" w:rsidP="00574242">
      <w:pPr>
        <w:pStyle w:val="FootnoteText"/>
      </w:pPr>
      <w:r w:rsidRPr="005D0457">
        <w:rPr>
          <w:rStyle w:val="FootnoteReference"/>
        </w:rPr>
        <w:footnoteRef/>
      </w:r>
      <w:r w:rsidRPr="005D0457">
        <w:t xml:space="preserve"> FASB Accounting Standards Codification (ASC) Section 450.</w:t>
      </w:r>
    </w:p>
  </w:footnote>
  <w:footnote w:id="43">
    <w:p w14:paraId="3DEE9244" w14:textId="77777777" w:rsidR="001D6B4B" w:rsidRDefault="001D6B4B" w:rsidP="001D3E8E">
      <w:pPr>
        <w:pStyle w:val="FootnoteText"/>
      </w:pPr>
      <w:r>
        <w:rPr>
          <w:rStyle w:val="FootnoteReference"/>
        </w:rPr>
        <w:footnoteRef/>
      </w:r>
      <w:r>
        <w:t xml:space="preserve"> See Glossary for definition of this key term.</w:t>
      </w:r>
    </w:p>
  </w:footnote>
  <w:footnote w:id="44">
    <w:p w14:paraId="046E1898" w14:textId="77777777" w:rsidR="001D6B4B" w:rsidRDefault="001D6B4B" w:rsidP="009B5881">
      <w:pPr>
        <w:pStyle w:val="FootnoteText"/>
      </w:pPr>
      <w:r>
        <w:rPr>
          <w:rStyle w:val="FootnoteReference"/>
        </w:rPr>
        <w:footnoteRef/>
      </w:r>
      <w:r>
        <w:t xml:space="preserve"> See </w:t>
      </w:r>
      <w:r w:rsidRPr="009B5881">
        <w:t>A</w:t>
      </w:r>
      <w:r>
        <w:t>ppendix</w:t>
      </w:r>
      <w:r w:rsidRPr="009B5881">
        <w:t xml:space="preserve"> </w:t>
      </w:r>
      <w:r>
        <w:t>D for the</w:t>
      </w:r>
      <w:r w:rsidRPr="009B5881">
        <w:t xml:space="preserve"> S</w:t>
      </w:r>
      <w:r>
        <w:t>tate’s financial reporting entity.</w:t>
      </w:r>
    </w:p>
  </w:footnote>
  <w:footnote w:id="45">
    <w:p w14:paraId="0EB22330" w14:textId="77777777" w:rsidR="001D6B4B" w:rsidRDefault="001D6B4B" w:rsidP="00010E73">
      <w:pPr>
        <w:pStyle w:val="FootnoteText"/>
      </w:pPr>
      <w:r>
        <w:rPr>
          <w:rStyle w:val="FootnoteReference"/>
        </w:rPr>
        <w:footnoteRef/>
      </w:r>
      <w:r>
        <w:t xml:space="preserve"> See Glossary for definition of this key term.</w:t>
      </w:r>
    </w:p>
  </w:footnote>
  <w:footnote w:id="46">
    <w:p w14:paraId="62FCA31B" w14:textId="77777777" w:rsidR="001D6B4B" w:rsidRDefault="001D6B4B" w:rsidP="00010E73">
      <w:pPr>
        <w:pStyle w:val="FootnoteText"/>
      </w:pPr>
      <w:r>
        <w:rPr>
          <w:rStyle w:val="FootnoteReference"/>
        </w:rPr>
        <w:footnoteRef/>
      </w:r>
      <w:r>
        <w:t xml:space="preserve"> See Glossary for definition of this key term.</w:t>
      </w:r>
    </w:p>
  </w:footnote>
  <w:footnote w:id="47">
    <w:p w14:paraId="110A2544" w14:textId="77777777" w:rsidR="001D6B4B" w:rsidRDefault="001D6B4B" w:rsidP="009B5881">
      <w:pPr>
        <w:pStyle w:val="FootnoteText"/>
      </w:pPr>
      <w:r>
        <w:rPr>
          <w:rStyle w:val="FootnoteReference"/>
        </w:rPr>
        <w:footnoteRef/>
      </w:r>
      <w:r>
        <w:t xml:space="preserve"> See Glossary for definition of this key term.</w:t>
      </w:r>
    </w:p>
  </w:footnote>
  <w:footnote w:id="48">
    <w:p w14:paraId="4D446F1B" w14:textId="77777777" w:rsidR="001D6B4B" w:rsidRDefault="001D6B4B" w:rsidP="009B5881">
      <w:pPr>
        <w:pStyle w:val="FootnoteText"/>
      </w:pPr>
      <w:r>
        <w:rPr>
          <w:rStyle w:val="FootnoteReference"/>
        </w:rPr>
        <w:footnoteRef/>
      </w:r>
      <w:r>
        <w:t xml:space="preserve"> See Glossary for definition of this key term.</w:t>
      </w:r>
    </w:p>
  </w:footnote>
  <w:footnote w:id="49">
    <w:p w14:paraId="55672AA3" w14:textId="77777777" w:rsidR="001D6B4B" w:rsidRPr="00521903" w:rsidRDefault="001D6B4B" w:rsidP="00521903">
      <w:pPr>
        <w:rPr>
          <w:sz w:val="20"/>
        </w:rPr>
      </w:pPr>
      <w:r w:rsidRPr="00521903">
        <w:rPr>
          <w:rStyle w:val="FootnoteReference"/>
          <w:sz w:val="20"/>
        </w:rPr>
        <w:footnoteRef/>
      </w:r>
      <w:r w:rsidRPr="00521903">
        <w:rPr>
          <w:sz w:val="20"/>
        </w:rPr>
        <w:t xml:space="preserve"> FASB Accounting Standards Codification (ASC) Section 450.</w:t>
      </w:r>
    </w:p>
  </w:footnote>
  <w:footnote w:id="50">
    <w:p w14:paraId="71DB8228" w14:textId="77777777" w:rsidR="001D6B4B" w:rsidRPr="00B12F24" w:rsidRDefault="001D6B4B" w:rsidP="00CE1C4E">
      <w:pPr>
        <w:pStyle w:val="FootnoteText"/>
        <w:ind w:left="360" w:hanging="360"/>
      </w:pPr>
      <w:r w:rsidRPr="00B12F24">
        <w:rPr>
          <w:rStyle w:val="FootnoteReference"/>
        </w:rPr>
        <w:footnoteRef/>
      </w:r>
      <w:r w:rsidRPr="00B12F24">
        <w:t xml:space="preserve"> FASB Statements have been consolidated into the FASB Accounting Standards Codification (ASC).  Contingencies appear in section 450</w:t>
      </w:r>
    </w:p>
  </w:footnote>
  <w:footnote w:id="51">
    <w:p w14:paraId="0D1D3BA9" w14:textId="77777777" w:rsidR="001D6B4B" w:rsidRDefault="001D6B4B" w:rsidP="001D3E8E">
      <w:pPr>
        <w:pStyle w:val="FootnoteText"/>
      </w:pPr>
      <w:r>
        <w:rPr>
          <w:rStyle w:val="FootnoteReference"/>
        </w:rPr>
        <w:footnoteRef/>
      </w:r>
      <w:r>
        <w:t xml:space="preserve"> See Glossary for definition of this key term.</w:t>
      </w:r>
    </w:p>
  </w:footnote>
  <w:footnote w:id="52">
    <w:p w14:paraId="35867113" w14:textId="2FA74748" w:rsidR="001D6B4B" w:rsidRDefault="001D6B4B" w:rsidP="001D3E8E">
      <w:pPr>
        <w:pStyle w:val="FootnoteText"/>
      </w:pPr>
      <w:r>
        <w:rPr>
          <w:rStyle w:val="FootnoteReference"/>
        </w:rPr>
        <w:footnoteRef/>
      </w:r>
      <w:r>
        <w:t xml:space="preserve"> See Glossary for </w:t>
      </w:r>
      <w:proofErr w:type="gramStart"/>
      <w:r>
        <w:t>definition</w:t>
      </w:r>
      <w:proofErr w:type="gramEnd"/>
      <w:r>
        <w:t xml:space="preserve"> of </w:t>
      </w:r>
      <w:r w:rsidR="00BD62E4">
        <w:t>Construction Commitments Outstanding and Software Development Project Commitments Outstanding.</w:t>
      </w:r>
    </w:p>
  </w:footnote>
  <w:footnote w:id="53">
    <w:p w14:paraId="01ACC5F7" w14:textId="77777777" w:rsidR="001D6B4B" w:rsidRPr="00A63DEE" w:rsidRDefault="001D6B4B" w:rsidP="00CE1C4E">
      <w:pPr>
        <w:pStyle w:val="FootnoteText"/>
        <w:ind w:left="360" w:hanging="360"/>
      </w:pPr>
      <w:r w:rsidRPr="00AF19EB">
        <w:rPr>
          <w:rStyle w:val="FootnoteReference"/>
        </w:rPr>
        <w:footnoteRef/>
      </w:r>
      <w:r w:rsidRPr="00AF19EB">
        <w:t xml:space="preserve"> This listing is intended to provide examples and does not represent all instances that may result in a miscellaneous commitment</w:t>
      </w:r>
      <w:r w:rsidRPr="00AF19EB">
        <w:rPr>
          <w:i/>
        </w:rPr>
        <w:t>.</w:t>
      </w:r>
    </w:p>
  </w:footnote>
  <w:footnote w:id="54">
    <w:p w14:paraId="5C3342F6" w14:textId="77777777" w:rsidR="001D6B4B" w:rsidRDefault="001D6B4B" w:rsidP="001D3E8E">
      <w:pPr>
        <w:pStyle w:val="FootnoteText"/>
      </w:pPr>
      <w:r>
        <w:rPr>
          <w:rStyle w:val="FootnoteReference"/>
        </w:rPr>
        <w:footnoteRef/>
      </w:r>
      <w:r>
        <w:t xml:space="preserve"> See Glossary for definition of this key term.</w:t>
      </w:r>
    </w:p>
  </w:footnote>
  <w:footnote w:id="55">
    <w:p w14:paraId="359CB3FB" w14:textId="77777777" w:rsidR="001D6B4B" w:rsidRDefault="001D6B4B" w:rsidP="001D3E8E">
      <w:pPr>
        <w:pStyle w:val="FootnoteText"/>
      </w:pPr>
      <w:r>
        <w:rPr>
          <w:rStyle w:val="FootnoteReference"/>
        </w:rPr>
        <w:footnoteRef/>
      </w:r>
      <w:r>
        <w:t xml:space="preserve"> See Glossary for definition of this key term.</w:t>
      </w:r>
    </w:p>
  </w:footnote>
  <w:footnote w:id="56">
    <w:p w14:paraId="57B18224" w14:textId="77777777" w:rsidR="001D6B4B" w:rsidRDefault="001D6B4B" w:rsidP="007C7925">
      <w:pPr>
        <w:pStyle w:val="FootnoteText"/>
      </w:pPr>
      <w:r>
        <w:rPr>
          <w:rStyle w:val="FootnoteReference"/>
        </w:rPr>
        <w:footnoteRef/>
      </w:r>
      <w:r>
        <w:t xml:space="preserve"> See Glossary for definition of this key term.</w:t>
      </w:r>
    </w:p>
  </w:footnote>
  <w:footnote w:id="57">
    <w:p w14:paraId="4FDA96BD" w14:textId="77777777" w:rsidR="001D6B4B" w:rsidRDefault="001D6B4B" w:rsidP="007C7925">
      <w:pPr>
        <w:pStyle w:val="FootnoteText"/>
      </w:pPr>
      <w:r>
        <w:rPr>
          <w:rStyle w:val="FootnoteReference"/>
        </w:rPr>
        <w:footnoteRef/>
      </w:r>
      <w:r>
        <w:t xml:space="preserve"> See Glossary for definition of this key term.</w:t>
      </w:r>
    </w:p>
  </w:footnote>
  <w:footnote w:id="58">
    <w:p w14:paraId="0FD5AD93" w14:textId="77777777" w:rsidR="001D6B4B" w:rsidRDefault="001D6B4B" w:rsidP="007C7925">
      <w:pPr>
        <w:pStyle w:val="FootnoteText"/>
      </w:pPr>
      <w:r>
        <w:rPr>
          <w:rStyle w:val="FootnoteReference"/>
        </w:rPr>
        <w:footnoteRef/>
      </w:r>
      <w:r>
        <w:t xml:space="preserve"> See Glossary for definition of this key term.</w:t>
      </w:r>
    </w:p>
  </w:footnote>
  <w:footnote w:id="59">
    <w:p w14:paraId="13709CDF" w14:textId="77777777" w:rsidR="001D6B4B" w:rsidRDefault="001D6B4B" w:rsidP="007C7925">
      <w:pPr>
        <w:pStyle w:val="FootnoteText"/>
      </w:pPr>
      <w:r>
        <w:rPr>
          <w:rStyle w:val="FootnoteReference"/>
        </w:rPr>
        <w:footnoteRef/>
      </w:r>
      <w:r>
        <w:t xml:space="preserve"> See Glossary for definition of this key term.</w:t>
      </w:r>
    </w:p>
  </w:footnote>
  <w:footnote w:id="60">
    <w:p w14:paraId="2146686A" w14:textId="77777777" w:rsidR="001D6B4B" w:rsidRDefault="001D6B4B" w:rsidP="0040473C">
      <w:pPr>
        <w:pStyle w:val="FootnoteText"/>
        <w:ind w:left="180" w:hanging="180"/>
      </w:pPr>
      <w:r>
        <w:rPr>
          <w:rStyle w:val="FootnoteReference"/>
        </w:rPr>
        <w:footnoteRef/>
      </w:r>
      <w:r>
        <w:t xml:space="preserve"> Sources for useful lives include the American Hospital Association’s </w:t>
      </w:r>
      <w:r>
        <w:rPr>
          <w:i/>
          <w:iCs/>
        </w:rPr>
        <w:t>Estimated Useful Lives of Depreciable Hospital Assets, Revised 1998 Edition</w:t>
      </w:r>
      <w:r>
        <w:t xml:space="preserve">; the Internal Revenue Service’s </w:t>
      </w:r>
      <w:r>
        <w:rPr>
          <w:i/>
          <w:iCs/>
        </w:rPr>
        <w:t>Publication 946, How to Depreciate Property</w:t>
      </w:r>
      <w:r>
        <w:t>; and professional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14"/>
    </w:tblGrid>
    <w:tr w:rsidR="001D6B4B" w14:paraId="3D297BAE" w14:textId="77777777">
      <w:trPr>
        <w:trHeight w:val="257"/>
      </w:trPr>
      <w:tc>
        <w:tcPr>
          <w:tcW w:w="10440" w:type="dxa"/>
          <w:tcBorders>
            <w:bottom w:val="nil"/>
          </w:tcBorders>
          <w:vAlign w:val="bottom"/>
        </w:tcPr>
        <w:p w14:paraId="17DABA4B" w14:textId="77777777" w:rsidR="001D6B4B" w:rsidRPr="00290DC2" w:rsidRDefault="001D6B4B">
          <w:pPr>
            <w:pStyle w:val="Heading4"/>
            <w:spacing w:after="0"/>
            <w:jc w:val="center"/>
            <w:rPr>
              <w:b/>
              <w:bCs/>
              <w:szCs w:val="24"/>
            </w:rPr>
          </w:pPr>
          <w:r w:rsidRPr="00290DC2">
            <w:rPr>
              <w:b/>
              <w:bCs/>
              <w:szCs w:val="24"/>
            </w:rPr>
            <w:t>STATE OF SOUTH CAROLINA</w:t>
          </w:r>
        </w:p>
      </w:tc>
    </w:tr>
    <w:tr w:rsidR="001D6B4B" w14:paraId="281AE368" w14:textId="77777777">
      <w:trPr>
        <w:trHeight w:val="267"/>
      </w:trPr>
      <w:tc>
        <w:tcPr>
          <w:tcW w:w="10440" w:type="dxa"/>
          <w:tcBorders>
            <w:top w:val="nil"/>
            <w:bottom w:val="single" w:sz="4" w:space="0" w:color="auto"/>
          </w:tcBorders>
          <w:vAlign w:val="bottom"/>
        </w:tcPr>
        <w:p w14:paraId="7B7A9108" w14:textId="77777777" w:rsidR="001D6B4B" w:rsidRPr="00290DC2" w:rsidRDefault="001D6B4B">
          <w:pPr>
            <w:pStyle w:val="Heading4"/>
            <w:spacing w:before="0" w:after="0"/>
            <w:jc w:val="center"/>
            <w:rPr>
              <w:b/>
              <w:bCs/>
              <w:szCs w:val="24"/>
            </w:rPr>
          </w:pPr>
          <w:r w:rsidRPr="00290DC2">
            <w:rPr>
              <w:b/>
              <w:bCs/>
              <w:szCs w:val="24"/>
            </w:rPr>
            <w:t>OFFICE OF THE COMPTROLLER GENERAL</w:t>
          </w:r>
        </w:p>
      </w:tc>
    </w:tr>
    <w:tr w:rsidR="001D6B4B" w14:paraId="5F6441EB" w14:textId="77777777">
      <w:trPr>
        <w:cantSplit/>
        <w:trHeight w:val="347"/>
      </w:trPr>
      <w:tc>
        <w:tcPr>
          <w:tcW w:w="10440" w:type="dxa"/>
          <w:tcBorders>
            <w:top w:val="single" w:sz="4" w:space="0" w:color="auto"/>
          </w:tcBorders>
          <w:vAlign w:val="bottom"/>
        </w:tcPr>
        <w:p w14:paraId="2A92DE3B" w14:textId="77777777" w:rsidR="001D6B4B" w:rsidRPr="00290DC2" w:rsidRDefault="001D6B4B" w:rsidP="00AC01F4">
          <w:pPr>
            <w:pStyle w:val="Heading4"/>
            <w:spacing w:after="0"/>
            <w:rPr>
              <w:b/>
              <w:bCs/>
              <w:szCs w:val="24"/>
            </w:rPr>
          </w:pPr>
          <w:r w:rsidRPr="00290DC2">
            <w:rPr>
              <w:b/>
              <w:bCs/>
              <w:szCs w:val="24"/>
            </w:rPr>
            <w:t xml:space="preserve">REPORTING </w:t>
          </w:r>
          <w:r>
            <w:rPr>
              <w:b/>
              <w:bCs/>
              <w:szCs w:val="24"/>
            </w:rPr>
            <w:t xml:space="preserve">POLICIES AND </w:t>
          </w:r>
          <w:r w:rsidRPr="00290DC2">
            <w:rPr>
              <w:b/>
              <w:bCs/>
              <w:szCs w:val="24"/>
            </w:rPr>
            <w:t>PROCEDURES MANUAL</w:t>
          </w:r>
        </w:p>
      </w:tc>
    </w:tr>
  </w:tbl>
  <w:p w14:paraId="2441AEF6" w14:textId="77777777" w:rsidR="001D6B4B" w:rsidRPr="00290DC2" w:rsidRDefault="001D6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4C3A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E6F6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AE50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2CD6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16AC8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23C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88BD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CF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98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B4AB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909CB"/>
    <w:multiLevelType w:val="hybridMultilevel"/>
    <w:tmpl w:val="9B0ED41E"/>
    <w:lvl w:ilvl="0" w:tplc="6D2ED7B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04C40"/>
    <w:multiLevelType w:val="hybridMultilevel"/>
    <w:tmpl w:val="06F42492"/>
    <w:lvl w:ilvl="0" w:tplc="DDF69F5C">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D2E58"/>
    <w:multiLevelType w:val="hybridMultilevel"/>
    <w:tmpl w:val="3154E810"/>
    <w:lvl w:ilvl="0" w:tplc="04090003">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AF1BD1"/>
    <w:multiLevelType w:val="hybridMultilevel"/>
    <w:tmpl w:val="9232243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11D8B"/>
    <w:multiLevelType w:val="hybridMultilevel"/>
    <w:tmpl w:val="3286B36C"/>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CB74C5"/>
    <w:multiLevelType w:val="hybridMultilevel"/>
    <w:tmpl w:val="05304DA4"/>
    <w:lvl w:ilvl="0" w:tplc="DA06D850">
      <w:start w:val="1"/>
      <w:numFmt w:val="bullet"/>
      <w:pStyle w:val="Bullet1"/>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5477A9"/>
    <w:multiLevelType w:val="hybridMultilevel"/>
    <w:tmpl w:val="7176147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E310E49"/>
    <w:multiLevelType w:val="hybridMultilevel"/>
    <w:tmpl w:val="4FFE39C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656F8F"/>
    <w:multiLevelType w:val="hybridMultilevel"/>
    <w:tmpl w:val="190AF9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252DB0"/>
    <w:multiLevelType w:val="hybridMultilevel"/>
    <w:tmpl w:val="A3708318"/>
    <w:lvl w:ilvl="0" w:tplc="DDF69F5C">
      <w:start w:val="1"/>
      <w:numFmt w:val="bullet"/>
      <w:lvlText w:val="-"/>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673800"/>
    <w:multiLevelType w:val="hybridMultilevel"/>
    <w:tmpl w:val="817009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66BDA"/>
    <w:multiLevelType w:val="hybridMultilevel"/>
    <w:tmpl w:val="C2CA5004"/>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368E5"/>
    <w:multiLevelType w:val="hybridMultilevel"/>
    <w:tmpl w:val="DFF8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720E94"/>
    <w:multiLevelType w:val="hybridMultilevel"/>
    <w:tmpl w:val="D1985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36441"/>
    <w:multiLevelType w:val="hybridMultilevel"/>
    <w:tmpl w:val="C256079E"/>
    <w:lvl w:ilvl="0" w:tplc="E920393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A20823"/>
    <w:multiLevelType w:val="hybridMultilevel"/>
    <w:tmpl w:val="90C2D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572494"/>
    <w:multiLevelType w:val="hybridMultilevel"/>
    <w:tmpl w:val="0EC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833C12"/>
    <w:multiLevelType w:val="hybridMultilevel"/>
    <w:tmpl w:val="8A0EC7C4"/>
    <w:lvl w:ilvl="0" w:tplc="04090003">
      <w:start w:val="1"/>
      <w:numFmt w:val="bullet"/>
      <w:lvlText w:val="o"/>
      <w:lvlJc w:val="left"/>
      <w:pPr>
        <w:tabs>
          <w:tab w:val="num" w:pos="1860"/>
        </w:tabs>
        <w:ind w:left="1860" w:hanging="360"/>
      </w:pPr>
      <w:rPr>
        <w:rFonts w:ascii="Courier New" w:hAnsi="Courier New"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8" w15:restartNumberingAfterBreak="0">
    <w:nsid w:val="2AC1590B"/>
    <w:multiLevelType w:val="hybridMultilevel"/>
    <w:tmpl w:val="9F0C2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495B71"/>
    <w:multiLevelType w:val="hybridMultilevel"/>
    <w:tmpl w:val="3FC009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2BA63127"/>
    <w:multiLevelType w:val="hybridMultilevel"/>
    <w:tmpl w:val="0144ED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EF52379"/>
    <w:multiLevelType w:val="hybridMultilevel"/>
    <w:tmpl w:val="00483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7F46A7"/>
    <w:multiLevelType w:val="hybridMultilevel"/>
    <w:tmpl w:val="9F5C01EA"/>
    <w:lvl w:ilvl="0" w:tplc="EBDC11F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1C31EA"/>
    <w:multiLevelType w:val="hybridMultilevel"/>
    <w:tmpl w:val="527CE4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5A411A"/>
    <w:multiLevelType w:val="hybridMultilevel"/>
    <w:tmpl w:val="29420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1D2997"/>
    <w:multiLevelType w:val="hybridMultilevel"/>
    <w:tmpl w:val="4F3AEA58"/>
    <w:lvl w:ilvl="0" w:tplc="EABCDD7C">
      <w:start w:val="6"/>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4843009B"/>
    <w:multiLevelType w:val="hybridMultilevel"/>
    <w:tmpl w:val="960A7D00"/>
    <w:lvl w:ilvl="0" w:tplc="04090003">
      <w:start w:val="1"/>
      <w:numFmt w:val="bullet"/>
      <w:lvlText w:val="o"/>
      <w:lvlJc w:val="left"/>
      <w:pPr>
        <w:tabs>
          <w:tab w:val="num" w:pos="792"/>
        </w:tabs>
        <w:ind w:left="792" w:hanging="360"/>
      </w:pPr>
      <w:rPr>
        <w:rFonts w:ascii="Courier New" w:hAnsi="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15:restartNumberingAfterBreak="0">
    <w:nsid w:val="50325AB4"/>
    <w:multiLevelType w:val="hybridMultilevel"/>
    <w:tmpl w:val="DA5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0684F"/>
    <w:multiLevelType w:val="hybridMultilevel"/>
    <w:tmpl w:val="F798335C"/>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B2B23"/>
    <w:multiLevelType w:val="hybridMultilevel"/>
    <w:tmpl w:val="42E83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85E10"/>
    <w:multiLevelType w:val="hybridMultilevel"/>
    <w:tmpl w:val="957C26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C879C0"/>
    <w:multiLevelType w:val="hybridMultilevel"/>
    <w:tmpl w:val="431E572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033120"/>
    <w:multiLevelType w:val="hybridMultilevel"/>
    <w:tmpl w:val="BF4AFE94"/>
    <w:lvl w:ilvl="0" w:tplc="04090003">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822FD1"/>
    <w:multiLevelType w:val="hybridMultilevel"/>
    <w:tmpl w:val="D4EAA01C"/>
    <w:lvl w:ilvl="0" w:tplc="E200CE0A">
      <w:start w:val="1"/>
      <w:numFmt w:val="bullet"/>
      <w:lvlText w:val="o"/>
      <w:lvlJc w:val="left"/>
      <w:pPr>
        <w:tabs>
          <w:tab w:val="num" w:pos="795"/>
        </w:tabs>
        <w:ind w:left="795" w:hanging="360"/>
      </w:pPr>
      <w:rPr>
        <w:rFonts w:hAnsi="Courier New"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4" w15:restartNumberingAfterBreak="0">
    <w:nsid w:val="5FA32DB5"/>
    <w:multiLevelType w:val="hybridMultilevel"/>
    <w:tmpl w:val="5FC6C4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0B60D1"/>
    <w:multiLevelType w:val="hybridMultilevel"/>
    <w:tmpl w:val="F4B0C5E6"/>
    <w:lvl w:ilvl="0" w:tplc="E920393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A70B9C"/>
    <w:multiLevelType w:val="hybridMultilevel"/>
    <w:tmpl w:val="4F54BEEC"/>
    <w:lvl w:ilvl="0" w:tplc="8572F000">
      <w:start w:val="1"/>
      <w:numFmt w:val="bullet"/>
      <w:pStyle w:val="Bullet0"/>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69EE1B9B"/>
    <w:multiLevelType w:val="hybridMultilevel"/>
    <w:tmpl w:val="9AB6CAF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D22DF8"/>
    <w:multiLevelType w:val="hybridMultilevel"/>
    <w:tmpl w:val="870C6C7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CD288D"/>
    <w:multiLevelType w:val="hybridMultilevel"/>
    <w:tmpl w:val="048CD7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ED7F81"/>
    <w:multiLevelType w:val="hybridMultilevel"/>
    <w:tmpl w:val="8424CA42"/>
    <w:lvl w:ilvl="0" w:tplc="04090003">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92449"/>
    <w:multiLevelType w:val="hybridMultilevel"/>
    <w:tmpl w:val="AFACC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82DBC"/>
    <w:multiLevelType w:val="hybridMultilevel"/>
    <w:tmpl w:val="713EF0F2"/>
    <w:lvl w:ilvl="0" w:tplc="04090003">
      <w:start w:val="1"/>
      <w:numFmt w:val="bullet"/>
      <w:lvlText w:val="o"/>
      <w:lvlJc w:val="left"/>
      <w:pPr>
        <w:tabs>
          <w:tab w:val="num" w:pos="795"/>
        </w:tabs>
        <w:ind w:left="795" w:hanging="360"/>
      </w:pPr>
      <w:rPr>
        <w:rFonts w:ascii="Courier New" w:hAnsi="Courier New" w:cs="Courier New" w:hint="default"/>
      </w:rPr>
    </w:lvl>
    <w:lvl w:ilvl="1" w:tplc="FFFFFFFF">
      <w:start w:val="1"/>
      <w:numFmt w:val="bullet"/>
      <w:lvlText w:val="o"/>
      <w:lvlJc w:val="left"/>
      <w:pPr>
        <w:tabs>
          <w:tab w:val="num" w:pos="1515"/>
        </w:tabs>
        <w:ind w:left="1515" w:hanging="360"/>
      </w:pPr>
      <w:rPr>
        <w:rFonts w:ascii="Courier New" w:hAnsi="Courier New" w:hint="default"/>
      </w:rPr>
    </w:lvl>
    <w:lvl w:ilvl="2" w:tplc="1AC8AA2A">
      <w:numFmt w:val="bullet"/>
      <w:lvlText w:val=""/>
      <w:lvlJc w:val="left"/>
      <w:pPr>
        <w:ind w:left="2235" w:hanging="360"/>
      </w:pPr>
      <w:rPr>
        <w:rFonts w:ascii="Wingdings" w:eastAsia="Times New Roman" w:hAnsi="Wingdings" w:cs="Times New Roman"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7647643D"/>
    <w:multiLevelType w:val="hybridMultilevel"/>
    <w:tmpl w:val="960A7D00"/>
    <w:lvl w:ilvl="0" w:tplc="04090003">
      <w:start w:val="1"/>
      <w:numFmt w:val="bullet"/>
      <w:lvlText w:val="o"/>
      <w:lvlJc w:val="left"/>
      <w:pPr>
        <w:tabs>
          <w:tab w:val="num" w:pos="792"/>
        </w:tabs>
        <w:ind w:left="792" w:hanging="360"/>
      </w:pPr>
      <w:rPr>
        <w:rFonts w:ascii="Courier New" w:hAnsi="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4" w15:restartNumberingAfterBreak="0">
    <w:nsid w:val="76AD21FA"/>
    <w:multiLevelType w:val="hybridMultilevel"/>
    <w:tmpl w:val="1EAC173C"/>
    <w:lvl w:ilvl="0" w:tplc="42588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F2644"/>
    <w:multiLevelType w:val="hybridMultilevel"/>
    <w:tmpl w:val="92B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46DEF"/>
    <w:multiLevelType w:val="hybridMultilevel"/>
    <w:tmpl w:val="0144ED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F9F4ACD"/>
    <w:multiLevelType w:val="hybridMultilevel"/>
    <w:tmpl w:val="C9C4F5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1014">
    <w:abstractNumId w:val="44"/>
  </w:num>
  <w:num w:numId="2" w16cid:durableId="1564028752">
    <w:abstractNumId w:val="18"/>
  </w:num>
  <w:num w:numId="3" w16cid:durableId="147594072">
    <w:abstractNumId w:val="16"/>
  </w:num>
  <w:num w:numId="4" w16cid:durableId="2082218478">
    <w:abstractNumId w:val="41"/>
  </w:num>
  <w:num w:numId="5" w16cid:durableId="714039805">
    <w:abstractNumId w:val="9"/>
  </w:num>
  <w:num w:numId="6" w16cid:durableId="56827448">
    <w:abstractNumId w:val="7"/>
  </w:num>
  <w:num w:numId="7" w16cid:durableId="285740611">
    <w:abstractNumId w:val="6"/>
  </w:num>
  <w:num w:numId="8" w16cid:durableId="1593471520">
    <w:abstractNumId w:val="5"/>
  </w:num>
  <w:num w:numId="9" w16cid:durableId="1011878029">
    <w:abstractNumId w:val="4"/>
  </w:num>
  <w:num w:numId="10" w16cid:durableId="1785273345">
    <w:abstractNumId w:val="8"/>
  </w:num>
  <w:num w:numId="11" w16cid:durableId="1632903039">
    <w:abstractNumId w:val="3"/>
  </w:num>
  <w:num w:numId="12" w16cid:durableId="344669856">
    <w:abstractNumId w:val="2"/>
  </w:num>
  <w:num w:numId="13" w16cid:durableId="673806054">
    <w:abstractNumId w:val="1"/>
  </w:num>
  <w:num w:numId="14" w16cid:durableId="407044351">
    <w:abstractNumId w:val="0"/>
  </w:num>
  <w:num w:numId="15" w16cid:durableId="365182638">
    <w:abstractNumId w:val="40"/>
  </w:num>
  <w:num w:numId="16" w16cid:durableId="1098987039">
    <w:abstractNumId w:val="43"/>
  </w:num>
  <w:num w:numId="17" w16cid:durableId="1340698046">
    <w:abstractNumId w:val="27"/>
  </w:num>
  <w:num w:numId="18" w16cid:durableId="710805937">
    <w:abstractNumId w:val="52"/>
  </w:num>
  <w:num w:numId="19" w16cid:durableId="448359241">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954827">
    <w:abstractNumId w:val="51"/>
  </w:num>
  <w:num w:numId="21" w16cid:durableId="868684299">
    <w:abstractNumId w:val="53"/>
  </w:num>
  <w:num w:numId="22" w16cid:durableId="161045416">
    <w:abstractNumId w:val="36"/>
  </w:num>
  <w:num w:numId="23" w16cid:durableId="423650889">
    <w:abstractNumId w:val="54"/>
  </w:num>
  <w:num w:numId="24" w16cid:durableId="124810209">
    <w:abstractNumId w:val="35"/>
  </w:num>
  <w:num w:numId="25" w16cid:durableId="1048720608">
    <w:abstractNumId w:val="50"/>
  </w:num>
  <w:num w:numId="26" w16cid:durableId="1852140007">
    <w:abstractNumId w:val="12"/>
  </w:num>
  <w:num w:numId="27" w16cid:durableId="1607154510">
    <w:abstractNumId w:val="42"/>
  </w:num>
  <w:num w:numId="28" w16cid:durableId="809175743">
    <w:abstractNumId w:val="19"/>
  </w:num>
  <w:num w:numId="29" w16cid:durableId="1109814597">
    <w:abstractNumId w:val="39"/>
  </w:num>
  <w:num w:numId="30" w16cid:durableId="546600281">
    <w:abstractNumId w:val="55"/>
  </w:num>
  <w:num w:numId="31" w16cid:durableId="1053232892">
    <w:abstractNumId w:val="22"/>
  </w:num>
  <w:num w:numId="32" w16cid:durableId="931398295">
    <w:abstractNumId w:val="49"/>
  </w:num>
  <w:num w:numId="33" w16cid:durableId="1742680128">
    <w:abstractNumId w:val="33"/>
  </w:num>
  <w:num w:numId="34" w16cid:durableId="1353797269">
    <w:abstractNumId w:val="31"/>
  </w:num>
  <w:num w:numId="35" w16cid:durableId="735056715">
    <w:abstractNumId w:val="10"/>
  </w:num>
  <w:num w:numId="36" w16cid:durableId="1519268094">
    <w:abstractNumId w:val="24"/>
  </w:num>
  <w:num w:numId="37" w16cid:durableId="295376666">
    <w:abstractNumId w:val="38"/>
  </w:num>
  <w:num w:numId="38" w16cid:durableId="529496009">
    <w:abstractNumId w:val="11"/>
  </w:num>
  <w:num w:numId="39" w16cid:durableId="521474922">
    <w:abstractNumId w:val="13"/>
  </w:num>
  <w:num w:numId="40" w16cid:durableId="357588283">
    <w:abstractNumId w:val="48"/>
  </w:num>
  <w:num w:numId="41" w16cid:durableId="928654902">
    <w:abstractNumId w:val="47"/>
  </w:num>
  <w:num w:numId="42" w16cid:durableId="952324343">
    <w:abstractNumId w:val="21"/>
  </w:num>
  <w:num w:numId="43" w16cid:durableId="1726948802">
    <w:abstractNumId w:val="14"/>
  </w:num>
  <w:num w:numId="44" w16cid:durableId="2082830789">
    <w:abstractNumId w:val="32"/>
  </w:num>
  <w:num w:numId="45" w16cid:durableId="1318340742">
    <w:abstractNumId w:val="23"/>
  </w:num>
  <w:num w:numId="46" w16cid:durableId="109326010">
    <w:abstractNumId w:val="34"/>
  </w:num>
  <w:num w:numId="47" w16cid:durableId="336884468">
    <w:abstractNumId w:val="26"/>
  </w:num>
  <w:num w:numId="48" w16cid:durableId="731999183">
    <w:abstractNumId w:val="20"/>
  </w:num>
  <w:num w:numId="49" w16cid:durableId="1089276423">
    <w:abstractNumId w:val="17"/>
  </w:num>
  <w:num w:numId="50" w16cid:durableId="2054383843">
    <w:abstractNumId w:val="15"/>
  </w:num>
  <w:num w:numId="51" w16cid:durableId="952369714">
    <w:abstractNumId w:val="46"/>
  </w:num>
  <w:num w:numId="52" w16cid:durableId="153110377">
    <w:abstractNumId w:val="57"/>
  </w:num>
  <w:num w:numId="53" w16cid:durableId="1176699027">
    <w:abstractNumId w:val="25"/>
  </w:num>
  <w:num w:numId="54" w16cid:durableId="679242377">
    <w:abstractNumId w:val="28"/>
  </w:num>
  <w:num w:numId="55" w16cid:durableId="2106002036">
    <w:abstractNumId w:val="45"/>
  </w:num>
  <w:num w:numId="56" w16cid:durableId="15591307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56949514">
    <w:abstractNumId w:val="56"/>
  </w:num>
  <w:num w:numId="58" w16cid:durableId="995838038">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8">
      <v:stroke endarrow="block"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7F"/>
    <w:rsid w:val="00000BF2"/>
    <w:rsid w:val="00002E50"/>
    <w:rsid w:val="0001007A"/>
    <w:rsid w:val="00010E73"/>
    <w:rsid w:val="000115E3"/>
    <w:rsid w:val="00012A9C"/>
    <w:rsid w:val="00012CA8"/>
    <w:rsid w:val="00016821"/>
    <w:rsid w:val="00021F79"/>
    <w:rsid w:val="000226E5"/>
    <w:rsid w:val="00024412"/>
    <w:rsid w:val="000318B2"/>
    <w:rsid w:val="00032D20"/>
    <w:rsid w:val="00036B73"/>
    <w:rsid w:val="0005132F"/>
    <w:rsid w:val="00051F21"/>
    <w:rsid w:val="00054A4C"/>
    <w:rsid w:val="00054BBC"/>
    <w:rsid w:val="000708B0"/>
    <w:rsid w:val="00076C93"/>
    <w:rsid w:val="000816ED"/>
    <w:rsid w:val="0008406E"/>
    <w:rsid w:val="00091476"/>
    <w:rsid w:val="00091DFE"/>
    <w:rsid w:val="0009389A"/>
    <w:rsid w:val="00093F69"/>
    <w:rsid w:val="00095521"/>
    <w:rsid w:val="0009741D"/>
    <w:rsid w:val="000A3863"/>
    <w:rsid w:val="000B0350"/>
    <w:rsid w:val="000B0613"/>
    <w:rsid w:val="000B09E9"/>
    <w:rsid w:val="000B1488"/>
    <w:rsid w:val="000B4A7E"/>
    <w:rsid w:val="000C0564"/>
    <w:rsid w:val="000C3C7C"/>
    <w:rsid w:val="000D3239"/>
    <w:rsid w:val="000D4DB2"/>
    <w:rsid w:val="000D6540"/>
    <w:rsid w:val="000E0393"/>
    <w:rsid w:val="000E3647"/>
    <w:rsid w:val="000E442A"/>
    <w:rsid w:val="000F0B67"/>
    <w:rsid w:val="000F61E3"/>
    <w:rsid w:val="000F7564"/>
    <w:rsid w:val="00102EBF"/>
    <w:rsid w:val="00103363"/>
    <w:rsid w:val="001051A7"/>
    <w:rsid w:val="001055AA"/>
    <w:rsid w:val="00106B55"/>
    <w:rsid w:val="00106F73"/>
    <w:rsid w:val="0012040B"/>
    <w:rsid w:val="00120ED1"/>
    <w:rsid w:val="00130B82"/>
    <w:rsid w:val="00130FB9"/>
    <w:rsid w:val="00134D65"/>
    <w:rsid w:val="00136571"/>
    <w:rsid w:val="00136DD4"/>
    <w:rsid w:val="00136F4F"/>
    <w:rsid w:val="00137A2F"/>
    <w:rsid w:val="0014138E"/>
    <w:rsid w:val="00142992"/>
    <w:rsid w:val="00153703"/>
    <w:rsid w:val="001537F0"/>
    <w:rsid w:val="0015475B"/>
    <w:rsid w:val="00154DFE"/>
    <w:rsid w:val="00156474"/>
    <w:rsid w:val="00161C07"/>
    <w:rsid w:val="00164671"/>
    <w:rsid w:val="001650D0"/>
    <w:rsid w:val="00166714"/>
    <w:rsid w:val="001715FB"/>
    <w:rsid w:val="0017258B"/>
    <w:rsid w:val="0017429F"/>
    <w:rsid w:val="001747B9"/>
    <w:rsid w:val="00174D95"/>
    <w:rsid w:val="00175F70"/>
    <w:rsid w:val="001766F6"/>
    <w:rsid w:val="00180AA1"/>
    <w:rsid w:val="0018180C"/>
    <w:rsid w:val="00186C96"/>
    <w:rsid w:val="001871D5"/>
    <w:rsid w:val="00193D3D"/>
    <w:rsid w:val="00195519"/>
    <w:rsid w:val="001A25BB"/>
    <w:rsid w:val="001A5A08"/>
    <w:rsid w:val="001A6009"/>
    <w:rsid w:val="001B1595"/>
    <w:rsid w:val="001B2867"/>
    <w:rsid w:val="001B34B0"/>
    <w:rsid w:val="001B623F"/>
    <w:rsid w:val="001C14D1"/>
    <w:rsid w:val="001C2D4D"/>
    <w:rsid w:val="001C4974"/>
    <w:rsid w:val="001C7139"/>
    <w:rsid w:val="001C7698"/>
    <w:rsid w:val="001D2DD4"/>
    <w:rsid w:val="001D3906"/>
    <w:rsid w:val="001D3E8E"/>
    <w:rsid w:val="001D6B4B"/>
    <w:rsid w:val="001E0AFD"/>
    <w:rsid w:val="001E2120"/>
    <w:rsid w:val="001F086D"/>
    <w:rsid w:val="001F2BE1"/>
    <w:rsid w:val="001F6148"/>
    <w:rsid w:val="001F7EF6"/>
    <w:rsid w:val="002009B4"/>
    <w:rsid w:val="002012B6"/>
    <w:rsid w:val="00203FA2"/>
    <w:rsid w:val="00205EA4"/>
    <w:rsid w:val="0021478A"/>
    <w:rsid w:val="00214970"/>
    <w:rsid w:val="002226EB"/>
    <w:rsid w:val="00222D36"/>
    <w:rsid w:val="002300A4"/>
    <w:rsid w:val="00230157"/>
    <w:rsid w:val="00230A5E"/>
    <w:rsid w:val="002311FA"/>
    <w:rsid w:val="00232443"/>
    <w:rsid w:val="002347DB"/>
    <w:rsid w:val="0023652C"/>
    <w:rsid w:val="00242BCA"/>
    <w:rsid w:val="00243F7D"/>
    <w:rsid w:val="002465D6"/>
    <w:rsid w:val="00246FEE"/>
    <w:rsid w:val="002513F7"/>
    <w:rsid w:val="0025440D"/>
    <w:rsid w:val="00261699"/>
    <w:rsid w:val="0026212D"/>
    <w:rsid w:val="00263C10"/>
    <w:rsid w:val="002645D9"/>
    <w:rsid w:val="00266AA0"/>
    <w:rsid w:val="002719C7"/>
    <w:rsid w:val="002729B3"/>
    <w:rsid w:val="00277740"/>
    <w:rsid w:val="0028010C"/>
    <w:rsid w:val="00283750"/>
    <w:rsid w:val="00287481"/>
    <w:rsid w:val="00290ADE"/>
    <w:rsid w:val="00290C32"/>
    <w:rsid w:val="00290DC2"/>
    <w:rsid w:val="0029158F"/>
    <w:rsid w:val="00291D34"/>
    <w:rsid w:val="00295DC7"/>
    <w:rsid w:val="002A268E"/>
    <w:rsid w:val="002A2FEE"/>
    <w:rsid w:val="002A4184"/>
    <w:rsid w:val="002A60B6"/>
    <w:rsid w:val="002B4FA9"/>
    <w:rsid w:val="002B5AA2"/>
    <w:rsid w:val="002B6FF2"/>
    <w:rsid w:val="002B77DC"/>
    <w:rsid w:val="002C1DE2"/>
    <w:rsid w:val="002C207C"/>
    <w:rsid w:val="002C3CE5"/>
    <w:rsid w:val="002C47A4"/>
    <w:rsid w:val="002C7FBB"/>
    <w:rsid w:val="002D13C4"/>
    <w:rsid w:val="002D297C"/>
    <w:rsid w:val="002D5D83"/>
    <w:rsid w:val="002D5E19"/>
    <w:rsid w:val="002D5EB1"/>
    <w:rsid w:val="002D7D97"/>
    <w:rsid w:val="002E1296"/>
    <w:rsid w:val="002E3CB2"/>
    <w:rsid w:val="002E419C"/>
    <w:rsid w:val="002E6C1B"/>
    <w:rsid w:val="002F09C0"/>
    <w:rsid w:val="002F18FD"/>
    <w:rsid w:val="003028DC"/>
    <w:rsid w:val="0030343A"/>
    <w:rsid w:val="0030479C"/>
    <w:rsid w:val="003054E9"/>
    <w:rsid w:val="00307672"/>
    <w:rsid w:val="003079AD"/>
    <w:rsid w:val="00313725"/>
    <w:rsid w:val="00315DDB"/>
    <w:rsid w:val="0032099C"/>
    <w:rsid w:val="00324B55"/>
    <w:rsid w:val="0033295D"/>
    <w:rsid w:val="00332A3B"/>
    <w:rsid w:val="003510DE"/>
    <w:rsid w:val="003519AB"/>
    <w:rsid w:val="003542ED"/>
    <w:rsid w:val="003546F0"/>
    <w:rsid w:val="00354C42"/>
    <w:rsid w:val="00356F84"/>
    <w:rsid w:val="003576D1"/>
    <w:rsid w:val="00357C79"/>
    <w:rsid w:val="00362166"/>
    <w:rsid w:val="00366E3F"/>
    <w:rsid w:val="0036770D"/>
    <w:rsid w:val="00371752"/>
    <w:rsid w:val="00374007"/>
    <w:rsid w:val="00375D12"/>
    <w:rsid w:val="00376434"/>
    <w:rsid w:val="00376749"/>
    <w:rsid w:val="00377A34"/>
    <w:rsid w:val="003828EA"/>
    <w:rsid w:val="003851CE"/>
    <w:rsid w:val="00387275"/>
    <w:rsid w:val="00392CCD"/>
    <w:rsid w:val="00394AA6"/>
    <w:rsid w:val="003950F1"/>
    <w:rsid w:val="003A01C5"/>
    <w:rsid w:val="003A2052"/>
    <w:rsid w:val="003A3B5D"/>
    <w:rsid w:val="003A5B12"/>
    <w:rsid w:val="003A6BBD"/>
    <w:rsid w:val="003B020F"/>
    <w:rsid w:val="003B02BA"/>
    <w:rsid w:val="003B09FB"/>
    <w:rsid w:val="003B0B5C"/>
    <w:rsid w:val="003B1CA4"/>
    <w:rsid w:val="003B3776"/>
    <w:rsid w:val="003B4D92"/>
    <w:rsid w:val="003B579E"/>
    <w:rsid w:val="003B7F57"/>
    <w:rsid w:val="003C1E75"/>
    <w:rsid w:val="003C5D01"/>
    <w:rsid w:val="003D0B37"/>
    <w:rsid w:val="003D2BD8"/>
    <w:rsid w:val="003D60E3"/>
    <w:rsid w:val="003D7BFB"/>
    <w:rsid w:val="003E1B8E"/>
    <w:rsid w:val="003E28F4"/>
    <w:rsid w:val="003E50F1"/>
    <w:rsid w:val="003E5550"/>
    <w:rsid w:val="003E742B"/>
    <w:rsid w:val="003F0404"/>
    <w:rsid w:val="003F0F51"/>
    <w:rsid w:val="003F1F42"/>
    <w:rsid w:val="003F398B"/>
    <w:rsid w:val="003F51E5"/>
    <w:rsid w:val="003F6348"/>
    <w:rsid w:val="003F7CB9"/>
    <w:rsid w:val="00402E6C"/>
    <w:rsid w:val="0040473C"/>
    <w:rsid w:val="004078BD"/>
    <w:rsid w:val="0041613C"/>
    <w:rsid w:val="00420416"/>
    <w:rsid w:val="0042216D"/>
    <w:rsid w:val="00433BC8"/>
    <w:rsid w:val="00434674"/>
    <w:rsid w:val="00435298"/>
    <w:rsid w:val="00435D41"/>
    <w:rsid w:val="004360E1"/>
    <w:rsid w:val="00436DF0"/>
    <w:rsid w:val="0044067C"/>
    <w:rsid w:val="00440A89"/>
    <w:rsid w:val="004447CF"/>
    <w:rsid w:val="00445991"/>
    <w:rsid w:val="0045027C"/>
    <w:rsid w:val="004502E0"/>
    <w:rsid w:val="0045684C"/>
    <w:rsid w:val="00456857"/>
    <w:rsid w:val="00460788"/>
    <w:rsid w:val="00462825"/>
    <w:rsid w:val="00464482"/>
    <w:rsid w:val="00464CBE"/>
    <w:rsid w:val="0047096C"/>
    <w:rsid w:val="00472C0A"/>
    <w:rsid w:val="0047307F"/>
    <w:rsid w:val="004806FF"/>
    <w:rsid w:val="00481D55"/>
    <w:rsid w:val="00481E58"/>
    <w:rsid w:val="004857FD"/>
    <w:rsid w:val="00485EBC"/>
    <w:rsid w:val="00491465"/>
    <w:rsid w:val="004917BB"/>
    <w:rsid w:val="004955A0"/>
    <w:rsid w:val="00495AAB"/>
    <w:rsid w:val="004965FF"/>
    <w:rsid w:val="00496BA8"/>
    <w:rsid w:val="004A0CC0"/>
    <w:rsid w:val="004A54B4"/>
    <w:rsid w:val="004A5F44"/>
    <w:rsid w:val="004A7A0A"/>
    <w:rsid w:val="004B5561"/>
    <w:rsid w:val="004C29D2"/>
    <w:rsid w:val="004C7600"/>
    <w:rsid w:val="004C7F52"/>
    <w:rsid w:val="004D2867"/>
    <w:rsid w:val="004D2D91"/>
    <w:rsid w:val="004D330F"/>
    <w:rsid w:val="004D3F4E"/>
    <w:rsid w:val="004D4214"/>
    <w:rsid w:val="004E14F7"/>
    <w:rsid w:val="004E156C"/>
    <w:rsid w:val="004E2FC5"/>
    <w:rsid w:val="004E345B"/>
    <w:rsid w:val="004E3B00"/>
    <w:rsid w:val="004E4E7B"/>
    <w:rsid w:val="004E641A"/>
    <w:rsid w:val="004E7216"/>
    <w:rsid w:val="004F2B02"/>
    <w:rsid w:val="004F54E4"/>
    <w:rsid w:val="00502E6A"/>
    <w:rsid w:val="0050477A"/>
    <w:rsid w:val="00506D4F"/>
    <w:rsid w:val="0051274F"/>
    <w:rsid w:val="00517D44"/>
    <w:rsid w:val="00520D05"/>
    <w:rsid w:val="00521561"/>
    <w:rsid w:val="00521903"/>
    <w:rsid w:val="0052210C"/>
    <w:rsid w:val="005249FA"/>
    <w:rsid w:val="0052624E"/>
    <w:rsid w:val="00527BF4"/>
    <w:rsid w:val="00531FE1"/>
    <w:rsid w:val="005328C7"/>
    <w:rsid w:val="0053308C"/>
    <w:rsid w:val="00533EDD"/>
    <w:rsid w:val="005373B0"/>
    <w:rsid w:val="005375F4"/>
    <w:rsid w:val="00537A51"/>
    <w:rsid w:val="0054099E"/>
    <w:rsid w:val="00546036"/>
    <w:rsid w:val="005474F4"/>
    <w:rsid w:val="00554993"/>
    <w:rsid w:val="00556906"/>
    <w:rsid w:val="00557166"/>
    <w:rsid w:val="005577F2"/>
    <w:rsid w:val="005612A9"/>
    <w:rsid w:val="005635E2"/>
    <w:rsid w:val="00565B06"/>
    <w:rsid w:val="00570D9A"/>
    <w:rsid w:val="0057127B"/>
    <w:rsid w:val="00572A30"/>
    <w:rsid w:val="00574242"/>
    <w:rsid w:val="0057638B"/>
    <w:rsid w:val="00577A2B"/>
    <w:rsid w:val="0058150D"/>
    <w:rsid w:val="00581F0B"/>
    <w:rsid w:val="00585DDB"/>
    <w:rsid w:val="00587B83"/>
    <w:rsid w:val="00590665"/>
    <w:rsid w:val="00590C66"/>
    <w:rsid w:val="005A0756"/>
    <w:rsid w:val="005A4933"/>
    <w:rsid w:val="005A6C6E"/>
    <w:rsid w:val="005B39B4"/>
    <w:rsid w:val="005B3B78"/>
    <w:rsid w:val="005B3CEC"/>
    <w:rsid w:val="005B4F6A"/>
    <w:rsid w:val="005B58E4"/>
    <w:rsid w:val="005C0056"/>
    <w:rsid w:val="005C2F33"/>
    <w:rsid w:val="005C2FA8"/>
    <w:rsid w:val="005C5DC9"/>
    <w:rsid w:val="005D0457"/>
    <w:rsid w:val="005D08FC"/>
    <w:rsid w:val="005D12A6"/>
    <w:rsid w:val="005D25C7"/>
    <w:rsid w:val="005D3F1D"/>
    <w:rsid w:val="005D5861"/>
    <w:rsid w:val="005E0E8A"/>
    <w:rsid w:val="005E1098"/>
    <w:rsid w:val="005E26DF"/>
    <w:rsid w:val="005E4666"/>
    <w:rsid w:val="005F1ABA"/>
    <w:rsid w:val="005F1BC4"/>
    <w:rsid w:val="005F5B1F"/>
    <w:rsid w:val="005F637F"/>
    <w:rsid w:val="00602DE5"/>
    <w:rsid w:val="0061281E"/>
    <w:rsid w:val="00614491"/>
    <w:rsid w:val="00615293"/>
    <w:rsid w:val="00622768"/>
    <w:rsid w:val="006318C3"/>
    <w:rsid w:val="00634148"/>
    <w:rsid w:val="00637334"/>
    <w:rsid w:val="00642963"/>
    <w:rsid w:val="00642C85"/>
    <w:rsid w:val="00643C2C"/>
    <w:rsid w:val="00645391"/>
    <w:rsid w:val="00650B77"/>
    <w:rsid w:val="006513E5"/>
    <w:rsid w:val="00651AA2"/>
    <w:rsid w:val="00653586"/>
    <w:rsid w:val="00653727"/>
    <w:rsid w:val="00654763"/>
    <w:rsid w:val="00654C66"/>
    <w:rsid w:val="00656142"/>
    <w:rsid w:val="006563EE"/>
    <w:rsid w:val="006617E6"/>
    <w:rsid w:val="006655F0"/>
    <w:rsid w:val="00666BEC"/>
    <w:rsid w:val="00666F8B"/>
    <w:rsid w:val="00670E8E"/>
    <w:rsid w:val="00672613"/>
    <w:rsid w:val="00672638"/>
    <w:rsid w:val="006733D6"/>
    <w:rsid w:val="00674E38"/>
    <w:rsid w:val="00681116"/>
    <w:rsid w:val="006814CD"/>
    <w:rsid w:val="00684EFF"/>
    <w:rsid w:val="00685481"/>
    <w:rsid w:val="00692637"/>
    <w:rsid w:val="00694DED"/>
    <w:rsid w:val="006967E1"/>
    <w:rsid w:val="00696E86"/>
    <w:rsid w:val="00697B47"/>
    <w:rsid w:val="00697DBC"/>
    <w:rsid w:val="00697DEA"/>
    <w:rsid w:val="006A1609"/>
    <w:rsid w:val="006A1C37"/>
    <w:rsid w:val="006A2816"/>
    <w:rsid w:val="006A6CBC"/>
    <w:rsid w:val="006B0826"/>
    <w:rsid w:val="006B2D76"/>
    <w:rsid w:val="006B3C7D"/>
    <w:rsid w:val="006B7F84"/>
    <w:rsid w:val="006C29FE"/>
    <w:rsid w:val="006C33AC"/>
    <w:rsid w:val="006C3525"/>
    <w:rsid w:val="006C6BA5"/>
    <w:rsid w:val="006C7A14"/>
    <w:rsid w:val="006E09D9"/>
    <w:rsid w:val="006E15A4"/>
    <w:rsid w:val="006E5EE1"/>
    <w:rsid w:val="006E5F5C"/>
    <w:rsid w:val="006F0641"/>
    <w:rsid w:val="006F1679"/>
    <w:rsid w:val="006F56F5"/>
    <w:rsid w:val="007001C2"/>
    <w:rsid w:val="00703451"/>
    <w:rsid w:val="007052BE"/>
    <w:rsid w:val="00705BA1"/>
    <w:rsid w:val="0070776C"/>
    <w:rsid w:val="007152DC"/>
    <w:rsid w:val="00715B0E"/>
    <w:rsid w:val="0071673D"/>
    <w:rsid w:val="007173DD"/>
    <w:rsid w:val="0072027B"/>
    <w:rsid w:val="00721E13"/>
    <w:rsid w:val="0072374F"/>
    <w:rsid w:val="00724EDE"/>
    <w:rsid w:val="007251D1"/>
    <w:rsid w:val="00726496"/>
    <w:rsid w:val="007323B0"/>
    <w:rsid w:val="00737516"/>
    <w:rsid w:val="00740559"/>
    <w:rsid w:val="007408E8"/>
    <w:rsid w:val="00743B15"/>
    <w:rsid w:val="00744B5F"/>
    <w:rsid w:val="00745BF6"/>
    <w:rsid w:val="00746B78"/>
    <w:rsid w:val="0075130A"/>
    <w:rsid w:val="00755C6D"/>
    <w:rsid w:val="00757CAD"/>
    <w:rsid w:val="0076079F"/>
    <w:rsid w:val="0076110E"/>
    <w:rsid w:val="00761D34"/>
    <w:rsid w:val="00763686"/>
    <w:rsid w:val="00774856"/>
    <w:rsid w:val="00774A9E"/>
    <w:rsid w:val="00776402"/>
    <w:rsid w:val="007767EF"/>
    <w:rsid w:val="00777242"/>
    <w:rsid w:val="00780D32"/>
    <w:rsid w:val="007810A8"/>
    <w:rsid w:val="00791DC2"/>
    <w:rsid w:val="0079559B"/>
    <w:rsid w:val="00797390"/>
    <w:rsid w:val="007B281E"/>
    <w:rsid w:val="007B2BDA"/>
    <w:rsid w:val="007B337F"/>
    <w:rsid w:val="007C23F6"/>
    <w:rsid w:val="007C2EDE"/>
    <w:rsid w:val="007C7925"/>
    <w:rsid w:val="007D0619"/>
    <w:rsid w:val="007D43F4"/>
    <w:rsid w:val="007E1BF8"/>
    <w:rsid w:val="007E2858"/>
    <w:rsid w:val="007E65B9"/>
    <w:rsid w:val="007F213B"/>
    <w:rsid w:val="007F553B"/>
    <w:rsid w:val="007F5F89"/>
    <w:rsid w:val="007F6FB2"/>
    <w:rsid w:val="00801226"/>
    <w:rsid w:val="008015F1"/>
    <w:rsid w:val="008032D4"/>
    <w:rsid w:val="0080388B"/>
    <w:rsid w:val="00803AC6"/>
    <w:rsid w:val="008046AE"/>
    <w:rsid w:val="00804C9A"/>
    <w:rsid w:val="00805B5D"/>
    <w:rsid w:val="0080672A"/>
    <w:rsid w:val="00810052"/>
    <w:rsid w:val="00811E6F"/>
    <w:rsid w:val="008135C3"/>
    <w:rsid w:val="00814505"/>
    <w:rsid w:val="008147E6"/>
    <w:rsid w:val="00814C09"/>
    <w:rsid w:val="00814CE7"/>
    <w:rsid w:val="0081567E"/>
    <w:rsid w:val="008219D3"/>
    <w:rsid w:val="00826FCA"/>
    <w:rsid w:val="00831DDE"/>
    <w:rsid w:val="00834DDC"/>
    <w:rsid w:val="00842150"/>
    <w:rsid w:val="0084226A"/>
    <w:rsid w:val="008457EE"/>
    <w:rsid w:val="00851CA5"/>
    <w:rsid w:val="0085574B"/>
    <w:rsid w:val="00861E57"/>
    <w:rsid w:val="0086331F"/>
    <w:rsid w:val="00863EBB"/>
    <w:rsid w:val="00873379"/>
    <w:rsid w:val="00874B9C"/>
    <w:rsid w:val="00876BD0"/>
    <w:rsid w:val="00880B93"/>
    <w:rsid w:val="00880E91"/>
    <w:rsid w:val="008843CA"/>
    <w:rsid w:val="00886112"/>
    <w:rsid w:val="008868DC"/>
    <w:rsid w:val="0088691E"/>
    <w:rsid w:val="0088742B"/>
    <w:rsid w:val="008876DD"/>
    <w:rsid w:val="008907C2"/>
    <w:rsid w:val="00892278"/>
    <w:rsid w:val="008937DD"/>
    <w:rsid w:val="00896186"/>
    <w:rsid w:val="00896426"/>
    <w:rsid w:val="008979F6"/>
    <w:rsid w:val="008A234F"/>
    <w:rsid w:val="008A30C8"/>
    <w:rsid w:val="008A60AF"/>
    <w:rsid w:val="008A7BE4"/>
    <w:rsid w:val="008B033E"/>
    <w:rsid w:val="008B1F93"/>
    <w:rsid w:val="008B4F56"/>
    <w:rsid w:val="008B612C"/>
    <w:rsid w:val="008B65D9"/>
    <w:rsid w:val="008B688F"/>
    <w:rsid w:val="008B6B69"/>
    <w:rsid w:val="008C0618"/>
    <w:rsid w:val="008C375C"/>
    <w:rsid w:val="008D0883"/>
    <w:rsid w:val="008D2AE4"/>
    <w:rsid w:val="008D5793"/>
    <w:rsid w:val="008E05BF"/>
    <w:rsid w:val="008E0B7E"/>
    <w:rsid w:val="008E3A2E"/>
    <w:rsid w:val="008E4210"/>
    <w:rsid w:val="008E71C1"/>
    <w:rsid w:val="008E7A2C"/>
    <w:rsid w:val="008F332F"/>
    <w:rsid w:val="008F6A91"/>
    <w:rsid w:val="008F6EF9"/>
    <w:rsid w:val="00903A8E"/>
    <w:rsid w:val="00906631"/>
    <w:rsid w:val="00914D43"/>
    <w:rsid w:val="0092248A"/>
    <w:rsid w:val="00926C53"/>
    <w:rsid w:val="00931701"/>
    <w:rsid w:val="00935399"/>
    <w:rsid w:val="0094339F"/>
    <w:rsid w:val="00944B78"/>
    <w:rsid w:val="0094773A"/>
    <w:rsid w:val="00954503"/>
    <w:rsid w:val="00956CBE"/>
    <w:rsid w:val="00957ABF"/>
    <w:rsid w:val="00960E70"/>
    <w:rsid w:val="00963EC6"/>
    <w:rsid w:val="00964B47"/>
    <w:rsid w:val="009666D0"/>
    <w:rsid w:val="00970100"/>
    <w:rsid w:val="00971B59"/>
    <w:rsid w:val="00974299"/>
    <w:rsid w:val="00975AAF"/>
    <w:rsid w:val="009768E4"/>
    <w:rsid w:val="00981A37"/>
    <w:rsid w:val="00985ACE"/>
    <w:rsid w:val="00985E9C"/>
    <w:rsid w:val="00986E2F"/>
    <w:rsid w:val="0098709E"/>
    <w:rsid w:val="00987DAB"/>
    <w:rsid w:val="00995231"/>
    <w:rsid w:val="0099749D"/>
    <w:rsid w:val="009A0531"/>
    <w:rsid w:val="009A1971"/>
    <w:rsid w:val="009A492E"/>
    <w:rsid w:val="009A53FA"/>
    <w:rsid w:val="009A589C"/>
    <w:rsid w:val="009A6244"/>
    <w:rsid w:val="009A6EDF"/>
    <w:rsid w:val="009B0657"/>
    <w:rsid w:val="009B555D"/>
    <w:rsid w:val="009B5881"/>
    <w:rsid w:val="009B6E2E"/>
    <w:rsid w:val="009C2F77"/>
    <w:rsid w:val="009C3F71"/>
    <w:rsid w:val="009C5B7B"/>
    <w:rsid w:val="009C6592"/>
    <w:rsid w:val="009D003D"/>
    <w:rsid w:val="009D633D"/>
    <w:rsid w:val="009E00C4"/>
    <w:rsid w:val="009E0161"/>
    <w:rsid w:val="009E352C"/>
    <w:rsid w:val="009E5524"/>
    <w:rsid w:val="009E58B6"/>
    <w:rsid w:val="009E5935"/>
    <w:rsid w:val="009F1037"/>
    <w:rsid w:val="009F3C23"/>
    <w:rsid w:val="009F4D76"/>
    <w:rsid w:val="009F4E25"/>
    <w:rsid w:val="00A0085E"/>
    <w:rsid w:val="00A00CA0"/>
    <w:rsid w:val="00A01BAE"/>
    <w:rsid w:val="00A022C7"/>
    <w:rsid w:val="00A03152"/>
    <w:rsid w:val="00A050D9"/>
    <w:rsid w:val="00A055E9"/>
    <w:rsid w:val="00A112E8"/>
    <w:rsid w:val="00A1141A"/>
    <w:rsid w:val="00A15FAF"/>
    <w:rsid w:val="00A16071"/>
    <w:rsid w:val="00A2094C"/>
    <w:rsid w:val="00A334DE"/>
    <w:rsid w:val="00A34E1E"/>
    <w:rsid w:val="00A36525"/>
    <w:rsid w:val="00A4195F"/>
    <w:rsid w:val="00A4268E"/>
    <w:rsid w:val="00A44ECD"/>
    <w:rsid w:val="00A45CA0"/>
    <w:rsid w:val="00A471FB"/>
    <w:rsid w:val="00A54A3C"/>
    <w:rsid w:val="00A55F25"/>
    <w:rsid w:val="00A57E4A"/>
    <w:rsid w:val="00A60093"/>
    <w:rsid w:val="00A61CF7"/>
    <w:rsid w:val="00A64FD1"/>
    <w:rsid w:val="00A66F6B"/>
    <w:rsid w:val="00A67F62"/>
    <w:rsid w:val="00A70C81"/>
    <w:rsid w:val="00A71BA4"/>
    <w:rsid w:val="00A73659"/>
    <w:rsid w:val="00A74CD9"/>
    <w:rsid w:val="00A76BFC"/>
    <w:rsid w:val="00A83D3F"/>
    <w:rsid w:val="00A86F03"/>
    <w:rsid w:val="00A92E6C"/>
    <w:rsid w:val="00A937A0"/>
    <w:rsid w:val="00A93DD1"/>
    <w:rsid w:val="00A977AC"/>
    <w:rsid w:val="00AA06D5"/>
    <w:rsid w:val="00AA2189"/>
    <w:rsid w:val="00AA4462"/>
    <w:rsid w:val="00AB0ECF"/>
    <w:rsid w:val="00AB118D"/>
    <w:rsid w:val="00AB2B96"/>
    <w:rsid w:val="00AB59FB"/>
    <w:rsid w:val="00AB6F3E"/>
    <w:rsid w:val="00AC01F4"/>
    <w:rsid w:val="00AC4764"/>
    <w:rsid w:val="00AC5BB0"/>
    <w:rsid w:val="00AC6EA6"/>
    <w:rsid w:val="00AC7B75"/>
    <w:rsid w:val="00AD2C6B"/>
    <w:rsid w:val="00AD33F9"/>
    <w:rsid w:val="00AD6D09"/>
    <w:rsid w:val="00AD7B47"/>
    <w:rsid w:val="00AE10F9"/>
    <w:rsid w:val="00AE25D8"/>
    <w:rsid w:val="00AE7707"/>
    <w:rsid w:val="00AF1157"/>
    <w:rsid w:val="00AF26B8"/>
    <w:rsid w:val="00AF3838"/>
    <w:rsid w:val="00AF7FDC"/>
    <w:rsid w:val="00B02D04"/>
    <w:rsid w:val="00B07A41"/>
    <w:rsid w:val="00B07C1E"/>
    <w:rsid w:val="00B141AD"/>
    <w:rsid w:val="00B26EB3"/>
    <w:rsid w:val="00B26EE2"/>
    <w:rsid w:val="00B30A6D"/>
    <w:rsid w:val="00B33885"/>
    <w:rsid w:val="00B33B29"/>
    <w:rsid w:val="00B418C8"/>
    <w:rsid w:val="00B43852"/>
    <w:rsid w:val="00B47019"/>
    <w:rsid w:val="00B5045C"/>
    <w:rsid w:val="00B53335"/>
    <w:rsid w:val="00B53E30"/>
    <w:rsid w:val="00B54694"/>
    <w:rsid w:val="00B55FEF"/>
    <w:rsid w:val="00B57370"/>
    <w:rsid w:val="00B57742"/>
    <w:rsid w:val="00B61771"/>
    <w:rsid w:val="00B617B0"/>
    <w:rsid w:val="00B665C8"/>
    <w:rsid w:val="00B70EC2"/>
    <w:rsid w:val="00B715E8"/>
    <w:rsid w:val="00B72E9A"/>
    <w:rsid w:val="00B81D24"/>
    <w:rsid w:val="00B8211C"/>
    <w:rsid w:val="00B83A8C"/>
    <w:rsid w:val="00B84056"/>
    <w:rsid w:val="00B843C9"/>
    <w:rsid w:val="00B87064"/>
    <w:rsid w:val="00B901CF"/>
    <w:rsid w:val="00B919EB"/>
    <w:rsid w:val="00B95118"/>
    <w:rsid w:val="00B95A1D"/>
    <w:rsid w:val="00B970EF"/>
    <w:rsid w:val="00B97ED7"/>
    <w:rsid w:val="00BA5FDD"/>
    <w:rsid w:val="00BA7F27"/>
    <w:rsid w:val="00BB24A0"/>
    <w:rsid w:val="00BB3123"/>
    <w:rsid w:val="00BB6B2D"/>
    <w:rsid w:val="00BC04E3"/>
    <w:rsid w:val="00BC1ED5"/>
    <w:rsid w:val="00BC5447"/>
    <w:rsid w:val="00BC73BF"/>
    <w:rsid w:val="00BD0CF9"/>
    <w:rsid w:val="00BD1717"/>
    <w:rsid w:val="00BD1D2D"/>
    <w:rsid w:val="00BD514C"/>
    <w:rsid w:val="00BD62E4"/>
    <w:rsid w:val="00BE0363"/>
    <w:rsid w:val="00BE4524"/>
    <w:rsid w:val="00BF32B6"/>
    <w:rsid w:val="00BF38F6"/>
    <w:rsid w:val="00BF750E"/>
    <w:rsid w:val="00C003C9"/>
    <w:rsid w:val="00C02320"/>
    <w:rsid w:val="00C03CE0"/>
    <w:rsid w:val="00C056E1"/>
    <w:rsid w:val="00C07FBD"/>
    <w:rsid w:val="00C17377"/>
    <w:rsid w:val="00C17807"/>
    <w:rsid w:val="00C2054B"/>
    <w:rsid w:val="00C20BC8"/>
    <w:rsid w:val="00C23E00"/>
    <w:rsid w:val="00C26E27"/>
    <w:rsid w:val="00C26F7E"/>
    <w:rsid w:val="00C27C5A"/>
    <w:rsid w:val="00C3203F"/>
    <w:rsid w:val="00C35FA3"/>
    <w:rsid w:val="00C420AB"/>
    <w:rsid w:val="00C45492"/>
    <w:rsid w:val="00C45B7B"/>
    <w:rsid w:val="00C52A3B"/>
    <w:rsid w:val="00C62179"/>
    <w:rsid w:val="00C64B49"/>
    <w:rsid w:val="00C65362"/>
    <w:rsid w:val="00C65E2A"/>
    <w:rsid w:val="00C67B86"/>
    <w:rsid w:val="00C72DEA"/>
    <w:rsid w:val="00C764AD"/>
    <w:rsid w:val="00C80D5F"/>
    <w:rsid w:val="00C83156"/>
    <w:rsid w:val="00C85798"/>
    <w:rsid w:val="00C93C62"/>
    <w:rsid w:val="00C95B21"/>
    <w:rsid w:val="00C9635E"/>
    <w:rsid w:val="00CA0EA0"/>
    <w:rsid w:val="00CA276C"/>
    <w:rsid w:val="00CA3558"/>
    <w:rsid w:val="00CB4176"/>
    <w:rsid w:val="00CC306A"/>
    <w:rsid w:val="00CC4347"/>
    <w:rsid w:val="00CD0831"/>
    <w:rsid w:val="00CD1E76"/>
    <w:rsid w:val="00CD1EDD"/>
    <w:rsid w:val="00CD24A6"/>
    <w:rsid w:val="00CD377B"/>
    <w:rsid w:val="00CD42E0"/>
    <w:rsid w:val="00CD5B95"/>
    <w:rsid w:val="00CD7110"/>
    <w:rsid w:val="00CD7725"/>
    <w:rsid w:val="00CE139B"/>
    <w:rsid w:val="00CE1C4E"/>
    <w:rsid w:val="00CE7B79"/>
    <w:rsid w:val="00CF008D"/>
    <w:rsid w:val="00CF157F"/>
    <w:rsid w:val="00CF4598"/>
    <w:rsid w:val="00CF502A"/>
    <w:rsid w:val="00CF674F"/>
    <w:rsid w:val="00D00334"/>
    <w:rsid w:val="00D026E6"/>
    <w:rsid w:val="00D02D43"/>
    <w:rsid w:val="00D15975"/>
    <w:rsid w:val="00D20D6C"/>
    <w:rsid w:val="00D22B12"/>
    <w:rsid w:val="00D24F2C"/>
    <w:rsid w:val="00D25B61"/>
    <w:rsid w:val="00D36AF5"/>
    <w:rsid w:val="00D37DEC"/>
    <w:rsid w:val="00D44527"/>
    <w:rsid w:val="00D45493"/>
    <w:rsid w:val="00D47FCC"/>
    <w:rsid w:val="00D50556"/>
    <w:rsid w:val="00D505C0"/>
    <w:rsid w:val="00D55E82"/>
    <w:rsid w:val="00D569BB"/>
    <w:rsid w:val="00D56B9D"/>
    <w:rsid w:val="00D57E22"/>
    <w:rsid w:val="00D635DD"/>
    <w:rsid w:val="00D65E96"/>
    <w:rsid w:val="00D727FD"/>
    <w:rsid w:val="00D7536F"/>
    <w:rsid w:val="00D764B2"/>
    <w:rsid w:val="00D77712"/>
    <w:rsid w:val="00D77C74"/>
    <w:rsid w:val="00D85825"/>
    <w:rsid w:val="00D90E37"/>
    <w:rsid w:val="00D94CB0"/>
    <w:rsid w:val="00D96A3A"/>
    <w:rsid w:val="00DA18A2"/>
    <w:rsid w:val="00DA1AD7"/>
    <w:rsid w:val="00DA68DB"/>
    <w:rsid w:val="00DB0A7A"/>
    <w:rsid w:val="00DB1A56"/>
    <w:rsid w:val="00DB1B02"/>
    <w:rsid w:val="00DB25BA"/>
    <w:rsid w:val="00DB3DCF"/>
    <w:rsid w:val="00DB7588"/>
    <w:rsid w:val="00DC62B9"/>
    <w:rsid w:val="00DC62F6"/>
    <w:rsid w:val="00DC658F"/>
    <w:rsid w:val="00DD0CE9"/>
    <w:rsid w:val="00DD11C5"/>
    <w:rsid w:val="00DD25B9"/>
    <w:rsid w:val="00DD4167"/>
    <w:rsid w:val="00DD6355"/>
    <w:rsid w:val="00DD6B9F"/>
    <w:rsid w:val="00DD7E68"/>
    <w:rsid w:val="00DE4780"/>
    <w:rsid w:val="00DE5EA8"/>
    <w:rsid w:val="00DE6C56"/>
    <w:rsid w:val="00DF0540"/>
    <w:rsid w:val="00DF1BE3"/>
    <w:rsid w:val="00DF3B05"/>
    <w:rsid w:val="00DF4243"/>
    <w:rsid w:val="00DF5711"/>
    <w:rsid w:val="00DF71A7"/>
    <w:rsid w:val="00DF7740"/>
    <w:rsid w:val="00E011AC"/>
    <w:rsid w:val="00E03399"/>
    <w:rsid w:val="00E0418D"/>
    <w:rsid w:val="00E06020"/>
    <w:rsid w:val="00E064FE"/>
    <w:rsid w:val="00E10B11"/>
    <w:rsid w:val="00E151B0"/>
    <w:rsid w:val="00E15657"/>
    <w:rsid w:val="00E1592E"/>
    <w:rsid w:val="00E16775"/>
    <w:rsid w:val="00E16893"/>
    <w:rsid w:val="00E17A45"/>
    <w:rsid w:val="00E17D25"/>
    <w:rsid w:val="00E17F2B"/>
    <w:rsid w:val="00E221EA"/>
    <w:rsid w:val="00E240B2"/>
    <w:rsid w:val="00E24933"/>
    <w:rsid w:val="00E24EB3"/>
    <w:rsid w:val="00E272E7"/>
    <w:rsid w:val="00E325CF"/>
    <w:rsid w:val="00E35B2E"/>
    <w:rsid w:val="00E36A12"/>
    <w:rsid w:val="00E44B7D"/>
    <w:rsid w:val="00E4578F"/>
    <w:rsid w:val="00E472F9"/>
    <w:rsid w:val="00E50833"/>
    <w:rsid w:val="00E512FD"/>
    <w:rsid w:val="00E5281F"/>
    <w:rsid w:val="00E55508"/>
    <w:rsid w:val="00E56303"/>
    <w:rsid w:val="00E60D4C"/>
    <w:rsid w:val="00E619A1"/>
    <w:rsid w:val="00E61A0F"/>
    <w:rsid w:val="00E630FE"/>
    <w:rsid w:val="00E63650"/>
    <w:rsid w:val="00E6597E"/>
    <w:rsid w:val="00E65E3B"/>
    <w:rsid w:val="00E70581"/>
    <w:rsid w:val="00E74748"/>
    <w:rsid w:val="00E758C2"/>
    <w:rsid w:val="00E76737"/>
    <w:rsid w:val="00E777EB"/>
    <w:rsid w:val="00E83033"/>
    <w:rsid w:val="00E832A0"/>
    <w:rsid w:val="00E832D0"/>
    <w:rsid w:val="00E844A5"/>
    <w:rsid w:val="00E84C5D"/>
    <w:rsid w:val="00E8587D"/>
    <w:rsid w:val="00E86FC3"/>
    <w:rsid w:val="00E960BD"/>
    <w:rsid w:val="00EA6AC4"/>
    <w:rsid w:val="00EA75B9"/>
    <w:rsid w:val="00EA7F3F"/>
    <w:rsid w:val="00EB17E6"/>
    <w:rsid w:val="00EB281F"/>
    <w:rsid w:val="00EB3E10"/>
    <w:rsid w:val="00EB6B68"/>
    <w:rsid w:val="00EB6CFC"/>
    <w:rsid w:val="00EB7747"/>
    <w:rsid w:val="00EC0D03"/>
    <w:rsid w:val="00EC359C"/>
    <w:rsid w:val="00EC3AFE"/>
    <w:rsid w:val="00EC7E2D"/>
    <w:rsid w:val="00ED7072"/>
    <w:rsid w:val="00EE6319"/>
    <w:rsid w:val="00EF2F4C"/>
    <w:rsid w:val="00EF38E1"/>
    <w:rsid w:val="00EF39D1"/>
    <w:rsid w:val="00EF542B"/>
    <w:rsid w:val="00F03C0A"/>
    <w:rsid w:val="00F04667"/>
    <w:rsid w:val="00F04981"/>
    <w:rsid w:val="00F05A9B"/>
    <w:rsid w:val="00F05DC7"/>
    <w:rsid w:val="00F0602A"/>
    <w:rsid w:val="00F0689C"/>
    <w:rsid w:val="00F10CFC"/>
    <w:rsid w:val="00F11FC7"/>
    <w:rsid w:val="00F1436D"/>
    <w:rsid w:val="00F1491F"/>
    <w:rsid w:val="00F15D38"/>
    <w:rsid w:val="00F172D8"/>
    <w:rsid w:val="00F2163C"/>
    <w:rsid w:val="00F26F48"/>
    <w:rsid w:val="00F2706A"/>
    <w:rsid w:val="00F3076E"/>
    <w:rsid w:val="00F309AD"/>
    <w:rsid w:val="00F37192"/>
    <w:rsid w:val="00F37848"/>
    <w:rsid w:val="00F4186A"/>
    <w:rsid w:val="00F42FD5"/>
    <w:rsid w:val="00F46240"/>
    <w:rsid w:val="00F57DB9"/>
    <w:rsid w:val="00F62488"/>
    <w:rsid w:val="00F62861"/>
    <w:rsid w:val="00F63D06"/>
    <w:rsid w:val="00F647E0"/>
    <w:rsid w:val="00F678F7"/>
    <w:rsid w:val="00F70A7C"/>
    <w:rsid w:val="00F731D4"/>
    <w:rsid w:val="00F77148"/>
    <w:rsid w:val="00F85895"/>
    <w:rsid w:val="00F94234"/>
    <w:rsid w:val="00F95B97"/>
    <w:rsid w:val="00F973F6"/>
    <w:rsid w:val="00FA0EF1"/>
    <w:rsid w:val="00FA1C25"/>
    <w:rsid w:val="00FA499A"/>
    <w:rsid w:val="00FA5487"/>
    <w:rsid w:val="00FA5D89"/>
    <w:rsid w:val="00FA6E4B"/>
    <w:rsid w:val="00FA7A3D"/>
    <w:rsid w:val="00FB1B29"/>
    <w:rsid w:val="00FB32B3"/>
    <w:rsid w:val="00FB4B1E"/>
    <w:rsid w:val="00FB6B53"/>
    <w:rsid w:val="00FB6ECD"/>
    <w:rsid w:val="00FC0A3B"/>
    <w:rsid w:val="00FC1134"/>
    <w:rsid w:val="00FC1ABE"/>
    <w:rsid w:val="00FC6723"/>
    <w:rsid w:val="00FC679E"/>
    <w:rsid w:val="00FD35BA"/>
    <w:rsid w:val="00FD3CC0"/>
    <w:rsid w:val="00FD554D"/>
    <w:rsid w:val="00FE0CE5"/>
    <w:rsid w:val="00FE1B5A"/>
    <w:rsid w:val="00FE612C"/>
    <w:rsid w:val="00FE6860"/>
    <w:rsid w:val="00FE7655"/>
    <w:rsid w:val="00FE796A"/>
    <w:rsid w:val="00FF2DA2"/>
    <w:rsid w:val="00FF6D95"/>
    <w:rsid w:val="00FF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stroke endarrow="block" weight="1.5pt"/>
    </o:shapedefaults>
    <o:shapelayout v:ext="edit">
      <o:idmap v:ext="edit" data="2"/>
    </o:shapelayout>
  </w:shapeDefaults>
  <w:decimalSymbol w:val="."/>
  <w:listSeparator w:val=","/>
  <w14:docId w14:val="1122730D"/>
  <w15:docId w15:val="{CCBD48EB-8D1C-4AEF-988F-B3863D9B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03"/>
    <w:pPr>
      <w:spacing w:before="120" w:after="120"/>
      <w:jc w:val="both"/>
    </w:pPr>
  </w:style>
  <w:style w:type="paragraph" w:styleId="Heading1">
    <w:name w:val="heading 1"/>
    <w:basedOn w:val="Normal"/>
    <w:next w:val="Normal"/>
    <w:link w:val="Heading1Char"/>
    <w:autoRedefine/>
    <w:uiPriority w:val="9"/>
    <w:qFormat/>
    <w:rsid w:val="00645391"/>
    <w:pPr>
      <w:keepNext/>
      <w:spacing w:before="240" w:after="240" w:line="360" w:lineRule="auto"/>
      <w:ind w:left="288" w:hanging="288"/>
      <w:jc w:val="center"/>
      <w:outlineLvl w:val="0"/>
    </w:pPr>
    <w:rPr>
      <w:b/>
      <w:sz w:val="30"/>
      <w:szCs w:val="24"/>
    </w:rPr>
  </w:style>
  <w:style w:type="paragraph" w:styleId="Heading2">
    <w:name w:val="heading 2"/>
    <w:aliases w:val="Heading PART III Section"/>
    <w:basedOn w:val="Normal"/>
    <w:next w:val="Normal"/>
    <w:link w:val="Heading2Char"/>
    <w:autoRedefine/>
    <w:uiPriority w:val="9"/>
    <w:qFormat/>
    <w:rsid w:val="003B02BA"/>
    <w:pPr>
      <w:keepNext/>
      <w:widowControl w:val="0"/>
      <w:spacing w:before="240"/>
      <w:outlineLvl w:val="1"/>
    </w:pPr>
    <w:rPr>
      <w:sz w:val="26"/>
      <w:szCs w:val="24"/>
    </w:rPr>
  </w:style>
  <w:style w:type="paragraph" w:styleId="Heading3">
    <w:name w:val="heading 3"/>
    <w:basedOn w:val="Normal"/>
    <w:next w:val="NormalIndent"/>
    <w:link w:val="Heading3Char"/>
    <w:uiPriority w:val="9"/>
    <w:qFormat/>
    <w:rsid w:val="00E844A5"/>
    <w:pPr>
      <w:keepNext/>
      <w:spacing w:after="40"/>
      <w:jc w:val="left"/>
      <w:outlineLvl w:val="2"/>
    </w:pPr>
    <w:rPr>
      <w:u w:val="single"/>
    </w:rPr>
  </w:style>
  <w:style w:type="paragraph" w:styleId="Heading4">
    <w:name w:val="heading 4"/>
    <w:basedOn w:val="Normal"/>
    <w:next w:val="Normal"/>
    <w:link w:val="Heading4Char"/>
    <w:qFormat/>
    <w:rsid w:val="00E844A5"/>
    <w:pPr>
      <w:keepNext/>
      <w:spacing w:after="40"/>
      <w:outlineLvl w:val="3"/>
    </w:pPr>
    <w:rPr>
      <w:i/>
    </w:rPr>
  </w:style>
  <w:style w:type="paragraph" w:styleId="Heading5">
    <w:name w:val="heading 5"/>
    <w:basedOn w:val="Normal"/>
    <w:next w:val="Normal"/>
    <w:link w:val="Heading5Char"/>
    <w:uiPriority w:val="9"/>
    <w:qFormat/>
    <w:rsid w:val="00D569BB"/>
    <w:pPr>
      <w:spacing w:before="240" w:after="60"/>
      <w:outlineLvl w:val="4"/>
    </w:pPr>
    <w:rPr>
      <w:b/>
      <w:bCs/>
      <w:i/>
      <w:iCs/>
      <w:sz w:val="26"/>
      <w:szCs w:val="26"/>
    </w:rPr>
  </w:style>
  <w:style w:type="paragraph" w:styleId="Heading6">
    <w:name w:val="heading 6"/>
    <w:basedOn w:val="Normal"/>
    <w:next w:val="Normal"/>
    <w:qFormat/>
    <w:rsid w:val="00D569BB"/>
    <w:pPr>
      <w:spacing w:before="240" w:after="60"/>
      <w:outlineLvl w:val="5"/>
    </w:pPr>
    <w:rPr>
      <w:b/>
      <w:bCs/>
      <w:sz w:val="22"/>
      <w:szCs w:val="22"/>
    </w:rPr>
  </w:style>
  <w:style w:type="paragraph" w:styleId="Heading7">
    <w:name w:val="heading 7"/>
    <w:basedOn w:val="Normal"/>
    <w:next w:val="Normal"/>
    <w:qFormat/>
    <w:rsid w:val="00D569BB"/>
    <w:pPr>
      <w:spacing w:before="240" w:after="60"/>
      <w:outlineLvl w:val="6"/>
    </w:pPr>
    <w:rPr>
      <w:szCs w:val="24"/>
    </w:rPr>
  </w:style>
  <w:style w:type="paragraph" w:styleId="Heading8">
    <w:name w:val="heading 8"/>
    <w:aliases w:val="Heading PART III subsection"/>
    <w:basedOn w:val="Normal"/>
    <w:next w:val="Normal"/>
    <w:qFormat/>
    <w:rsid w:val="002513F7"/>
    <w:pPr>
      <w:spacing w:before="160" w:after="40"/>
      <w:outlineLvl w:val="7"/>
    </w:pPr>
    <w:rPr>
      <w:i/>
      <w:iCs/>
      <w:szCs w:val="24"/>
    </w:rPr>
  </w:style>
  <w:style w:type="paragraph" w:styleId="Heading9">
    <w:name w:val="heading 9"/>
    <w:basedOn w:val="Normal"/>
    <w:next w:val="Normal"/>
    <w:qFormat/>
    <w:rsid w:val="00D569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569BB"/>
    <w:pPr>
      <w:ind w:left="720"/>
    </w:pPr>
  </w:style>
  <w:style w:type="paragraph" w:styleId="Footer">
    <w:name w:val="footer"/>
    <w:basedOn w:val="Normal"/>
    <w:link w:val="FooterChar"/>
    <w:uiPriority w:val="99"/>
    <w:rsid w:val="00D569BB"/>
    <w:pPr>
      <w:tabs>
        <w:tab w:val="center" w:pos="4320"/>
        <w:tab w:val="right" w:pos="8640"/>
      </w:tabs>
    </w:pPr>
  </w:style>
  <w:style w:type="character" w:customStyle="1" w:styleId="Heading4Char">
    <w:name w:val="Heading 4 Char"/>
    <w:basedOn w:val="DefaultParagraphFont"/>
    <w:link w:val="Heading4"/>
    <w:rsid w:val="0040473C"/>
    <w:rPr>
      <w:i/>
    </w:rPr>
  </w:style>
  <w:style w:type="paragraph" w:customStyle="1" w:styleId="Indent1">
    <w:name w:val="Indent1"/>
    <w:basedOn w:val="Bullet10"/>
    <w:rsid w:val="00D569BB"/>
    <w:pPr>
      <w:ind w:firstLine="0"/>
    </w:pPr>
  </w:style>
  <w:style w:type="paragraph" w:customStyle="1" w:styleId="Bullet10">
    <w:name w:val="Bullet 1"/>
    <w:basedOn w:val="Normal"/>
    <w:rsid w:val="00D569BB"/>
    <w:pPr>
      <w:ind w:left="720" w:hanging="288"/>
    </w:pPr>
  </w:style>
  <w:style w:type="paragraph" w:customStyle="1" w:styleId="List1">
    <w:name w:val="List1"/>
    <w:basedOn w:val="Normal"/>
    <w:rsid w:val="00D569BB"/>
    <w:pPr>
      <w:framePr w:hSpace="187" w:wrap="around" w:vAnchor="text" w:hAnchor="text" w:y="1"/>
      <w:ind w:left="1440" w:hanging="360"/>
    </w:pPr>
  </w:style>
  <w:style w:type="paragraph" w:customStyle="1" w:styleId="Bullet2">
    <w:name w:val="Bullet 2"/>
    <w:basedOn w:val="Normal"/>
    <w:rsid w:val="00D569BB"/>
    <w:pPr>
      <w:ind w:left="1440" w:hanging="432"/>
    </w:pPr>
  </w:style>
  <w:style w:type="paragraph" w:customStyle="1" w:styleId="Bullet3">
    <w:name w:val="Bullet 3"/>
    <w:basedOn w:val="Bullet2"/>
    <w:rsid w:val="00D569BB"/>
    <w:pPr>
      <w:ind w:left="2160"/>
    </w:pPr>
  </w:style>
  <w:style w:type="paragraph" w:customStyle="1" w:styleId="Bullet4">
    <w:name w:val="Bullet 4"/>
    <w:basedOn w:val="Bullet3"/>
    <w:rsid w:val="00D569BB"/>
    <w:pPr>
      <w:ind w:left="2880"/>
    </w:pPr>
  </w:style>
  <w:style w:type="paragraph" w:customStyle="1" w:styleId="Indent3">
    <w:name w:val="Indent3"/>
    <w:basedOn w:val="Bullet3"/>
    <w:rsid w:val="00D569BB"/>
    <w:pPr>
      <w:ind w:firstLine="0"/>
    </w:pPr>
  </w:style>
  <w:style w:type="paragraph" w:customStyle="1" w:styleId="Indent4">
    <w:name w:val="Indent4"/>
    <w:basedOn w:val="Bullet4"/>
    <w:rsid w:val="00D569BB"/>
    <w:pPr>
      <w:ind w:firstLine="0"/>
    </w:pPr>
  </w:style>
  <w:style w:type="paragraph" w:customStyle="1" w:styleId="Indent2">
    <w:name w:val="Indent2"/>
    <w:basedOn w:val="Bullet2"/>
    <w:rsid w:val="00D569BB"/>
    <w:pPr>
      <w:ind w:firstLine="0"/>
    </w:pPr>
  </w:style>
  <w:style w:type="paragraph" w:customStyle="1" w:styleId="Filler">
    <w:name w:val="Filler"/>
    <w:basedOn w:val="Normal"/>
    <w:rsid w:val="00D569BB"/>
    <w:pPr>
      <w:spacing w:before="0" w:after="0" w:line="240" w:lineRule="atLeast"/>
    </w:pPr>
  </w:style>
  <w:style w:type="paragraph" w:customStyle="1" w:styleId="Numbrd-Para">
    <w:name w:val="Numbrd-Para"/>
    <w:basedOn w:val="Bullet10"/>
    <w:rsid w:val="00D569BB"/>
    <w:pPr>
      <w:ind w:hanging="720"/>
    </w:pPr>
  </w:style>
  <w:style w:type="paragraph" w:customStyle="1" w:styleId="Quote1">
    <w:name w:val="Quote1"/>
    <w:basedOn w:val="Numbrd-Para"/>
    <w:rsid w:val="00D569BB"/>
    <w:pPr>
      <w:ind w:right="720" w:firstLine="0"/>
    </w:pPr>
  </w:style>
  <w:style w:type="paragraph" w:styleId="BodyTextIndent">
    <w:name w:val="Body Text Indent"/>
    <w:basedOn w:val="Normal"/>
    <w:link w:val="BodyTextIndentChar"/>
    <w:rsid w:val="00D569BB"/>
    <w:pPr>
      <w:ind w:left="288" w:hanging="288"/>
      <w:jc w:val="left"/>
    </w:pPr>
    <w:rPr>
      <w:b/>
      <w:u w:val="single"/>
    </w:rPr>
  </w:style>
  <w:style w:type="character" w:styleId="CommentReference">
    <w:name w:val="annotation reference"/>
    <w:basedOn w:val="DefaultParagraphFont"/>
    <w:semiHidden/>
    <w:rsid w:val="00D569BB"/>
    <w:rPr>
      <w:sz w:val="16"/>
      <w:szCs w:val="16"/>
    </w:rPr>
  </w:style>
  <w:style w:type="paragraph" w:styleId="CommentText">
    <w:name w:val="annotation text"/>
    <w:basedOn w:val="Normal"/>
    <w:semiHidden/>
    <w:rsid w:val="00D569BB"/>
    <w:rPr>
      <w:sz w:val="20"/>
    </w:rPr>
  </w:style>
  <w:style w:type="character" w:styleId="PageNumber">
    <w:name w:val="page number"/>
    <w:basedOn w:val="DefaultParagraphFont"/>
    <w:rsid w:val="00D569BB"/>
  </w:style>
  <w:style w:type="paragraph" w:customStyle="1" w:styleId="Bullet0">
    <w:name w:val="Bullet 0"/>
    <w:basedOn w:val="Normal"/>
    <w:autoRedefine/>
    <w:rsid w:val="00A977AC"/>
    <w:pPr>
      <w:keepNext/>
      <w:keepLines/>
      <w:numPr>
        <w:numId w:val="51"/>
      </w:numPr>
      <w:spacing w:before="20" w:after="20"/>
    </w:pPr>
  </w:style>
  <w:style w:type="character" w:styleId="Hyperlink">
    <w:name w:val="Hyperlink"/>
    <w:basedOn w:val="DefaultParagraphFont"/>
    <w:uiPriority w:val="99"/>
    <w:rsid w:val="00D569BB"/>
    <w:rPr>
      <w:color w:val="0000FF"/>
      <w:u w:val="single"/>
    </w:rPr>
  </w:style>
  <w:style w:type="paragraph" w:styleId="TOC1">
    <w:name w:val="toc 1"/>
    <w:basedOn w:val="Normal"/>
    <w:next w:val="Normal"/>
    <w:autoRedefine/>
    <w:uiPriority w:val="39"/>
    <w:qFormat/>
    <w:rsid w:val="00D569BB"/>
    <w:pPr>
      <w:keepNext/>
    </w:pPr>
    <w:rPr>
      <w:b/>
    </w:rPr>
  </w:style>
  <w:style w:type="paragraph" w:styleId="TOC2">
    <w:name w:val="toc 2"/>
    <w:basedOn w:val="Normal"/>
    <w:next w:val="Normal"/>
    <w:autoRedefine/>
    <w:uiPriority w:val="39"/>
    <w:qFormat/>
    <w:rsid w:val="00BF38F6"/>
    <w:pPr>
      <w:tabs>
        <w:tab w:val="right" w:leader="dot" w:pos="10214"/>
      </w:tabs>
      <w:ind w:left="245"/>
    </w:pPr>
  </w:style>
  <w:style w:type="paragraph" w:styleId="TOC3">
    <w:name w:val="toc 3"/>
    <w:basedOn w:val="Normal"/>
    <w:next w:val="Normal"/>
    <w:autoRedefine/>
    <w:uiPriority w:val="39"/>
    <w:qFormat/>
    <w:rsid w:val="00D569BB"/>
    <w:pPr>
      <w:spacing w:before="60" w:after="60"/>
      <w:ind w:left="475"/>
      <w:jc w:val="left"/>
    </w:pPr>
    <w:rPr>
      <w:i/>
    </w:rPr>
  </w:style>
  <w:style w:type="paragraph" w:styleId="TOC4">
    <w:name w:val="toc 4"/>
    <w:basedOn w:val="Normal"/>
    <w:next w:val="Normal"/>
    <w:autoRedefine/>
    <w:uiPriority w:val="39"/>
    <w:rsid w:val="00D569BB"/>
    <w:pPr>
      <w:ind w:left="720"/>
    </w:pPr>
  </w:style>
  <w:style w:type="paragraph" w:styleId="TOC5">
    <w:name w:val="toc 5"/>
    <w:basedOn w:val="Normal"/>
    <w:next w:val="Normal"/>
    <w:autoRedefine/>
    <w:uiPriority w:val="39"/>
    <w:rsid w:val="00D569BB"/>
    <w:pPr>
      <w:ind w:left="960"/>
    </w:pPr>
  </w:style>
  <w:style w:type="paragraph" w:styleId="TOC6">
    <w:name w:val="toc 6"/>
    <w:basedOn w:val="Normal"/>
    <w:next w:val="Normal"/>
    <w:autoRedefine/>
    <w:uiPriority w:val="39"/>
    <w:rsid w:val="00D569BB"/>
    <w:pPr>
      <w:ind w:left="1200"/>
    </w:pPr>
  </w:style>
  <w:style w:type="paragraph" w:styleId="TOC7">
    <w:name w:val="toc 7"/>
    <w:basedOn w:val="Normal"/>
    <w:next w:val="Normal"/>
    <w:autoRedefine/>
    <w:uiPriority w:val="39"/>
    <w:rsid w:val="00D569BB"/>
    <w:pPr>
      <w:ind w:left="1440"/>
    </w:pPr>
  </w:style>
  <w:style w:type="paragraph" w:styleId="TOC8">
    <w:name w:val="toc 8"/>
    <w:basedOn w:val="Normal"/>
    <w:next w:val="Normal"/>
    <w:autoRedefine/>
    <w:uiPriority w:val="39"/>
    <w:rsid w:val="00D569BB"/>
    <w:pPr>
      <w:ind w:left="1680"/>
    </w:pPr>
  </w:style>
  <w:style w:type="paragraph" w:styleId="TOC9">
    <w:name w:val="toc 9"/>
    <w:basedOn w:val="Normal"/>
    <w:next w:val="Normal"/>
    <w:autoRedefine/>
    <w:uiPriority w:val="39"/>
    <w:rsid w:val="00D569BB"/>
    <w:pPr>
      <w:ind w:left="1920"/>
    </w:pPr>
  </w:style>
  <w:style w:type="paragraph" w:styleId="Title">
    <w:name w:val="Title"/>
    <w:basedOn w:val="Normal"/>
    <w:qFormat/>
    <w:rsid w:val="00D569BB"/>
    <w:pPr>
      <w:jc w:val="center"/>
    </w:pPr>
    <w:rPr>
      <w:b/>
      <w:bCs/>
    </w:rPr>
  </w:style>
  <w:style w:type="paragraph" w:styleId="BodyTextIndent2">
    <w:name w:val="Body Text Indent 2"/>
    <w:basedOn w:val="Normal"/>
    <w:rsid w:val="00D569BB"/>
    <w:pPr>
      <w:ind w:left="144" w:hanging="144"/>
    </w:pPr>
  </w:style>
  <w:style w:type="paragraph" w:styleId="BlockText">
    <w:name w:val="Block Text"/>
    <w:basedOn w:val="Normal"/>
    <w:rsid w:val="00D569BB"/>
    <w:pPr>
      <w:ind w:left="1440" w:right="1440"/>
    </w:pPr>
  </w:style>
  <w:style w:type="paragraph" w:styleId="BodyText">
    <w:name w:val="Body Text"/>
    <w:basedOn w:val="Normal"/>
    <w:link w:val="BodyTextChar"/>
    <w:uiPriority w:val="99"/>
    <w:rsid w:val="00D569BB"/>
  </w:style>
  <w:style w:type="paragraph" w:styleId="BodyText2">
    <w:name w:val="Body Text 2"/>
    <w:basedOn w:val="Normal"/>
    <w:rsid w:val="00D569BB"/>
    <w:pPr>
      <w:spacing w:line="480" w:lineRule="auto"/>
    </w:pPr>
  </w:style>
  <w:style w:type="paragraph" w:styleId="BodyText3">
    <w:name w:val="Body Text 3"/>
    <w:basedOn w:val="Normal"/>
    <w:rsid w:val="00D569BB"/>
    <w:rPr>
      <w:sz w:val="16"/>
      <w:szCs w:val="16"/>
    </w:rPr>
  </w:style>
  <w:style w:type="paragraph" w:styleId="BodyTextFirstIndent">
    <w:name w:val="Body Text First Indent"/>
    <w:basedOn w:val="BodyText"/>
    <w:rsid w:val="00D569BB"/>
    <w:pPr>
      <w:ind w:firstLine="210"/>
    </w:pPr>
  </w:style>
  <w:style w:type="paragraph" w:styleId="BodyTextFirstIndent2">
    <w:name w:val="Body Text First Indent 2"/>
    <w:basedOn w:val="BodyTextIndent"/>
    <w:rsid w:val="00D569BB"/>
    <w:pPr>
      <w:ind w:left="360" w:firstLine="210"/>
      <w:jc w:val="both"/>
    </w:pPr>
    <w:rPr>
      <w:b w:val="0"/>
      <w:u w:val="none"/>
    </w:rPr>
  </w:style>
  <w:style w:type="paragraph" w:styleId="BodyTextIndent3">
    <w:name w:val="Body Text Indent 3"/>
    <w:basedOn w:val="Normal"/>
    <w:rsid w:val="00D569BB"/>
    <w:pPr>
      <w:ind w:left="360"/>
    </w:pPr>
    <w:rPr>
      <w:sz w:val="16"/>
      <w:szCs w:val="16"/>
    </w:rPr>
  </w:style>
  <w:style w:type="paragraph" w:styleId="Caption">
    <w:name w:val="caption"/>
    <w:basedOn w:val="Normal"/>
    <w:next w:val="Normal"/>
    <w:qFormat/>
    <w:rsid w:val="00D569BB"/>
    <w:rPr>
      <w:b/>
      <w:bCs/>
      <w:sz w:val="20"/>
    </w:rPr>
  </w:style>
  <w:style w:type="paragraph" w:styleId="Closing">
    <w:name w:val="Closing"/>
    <w:basedOn w:val="Normal"/>
    <w:rsid w:val="00D569BB"/>
    <w:pPr>
      <w:ind w:left="4320"/>
    </w:pPr>
  </w:style>
  <w:style w:type="paragraph" w:styleId="Date">
    <w:name w:val="Date"/>
    <w:basedOn w:val="Normal"/>
    <w:next w:val="Normal"/>
    <w:rsid w:val="00D569BB"/>
  </w:style>
  <w:style w:type="paragraph" w:styleId="DocumentMap">
    <w:name w:val="Document Map"/>
    <w:basedOn w:val="Normal"/>
    <w:semiHidden/>
    <w:rsid w:val="00D569BB"/>
    <w:pPr>
      <w:shd w:val="clear" w:color="auto" w:fill="000080"/>
    </w:pPr>
    <w:rPr>
      <w:rFonts w:ascii="Tahoma" w:hAnsi="Tahoma" w:cs="Tahoma"/>
    </w:rPr>
  </w:style>
  <w:style w:type="paragraph" w:styleId="E-mailSignature">
    <w:name w:val="E-mail Signature"/>
    <w:basedOn w:val="Normal"/>
    <w:rsid w:val="00D569BB"/>
  </w:style>
  <w:style w:type="paragraph" w:styleId="EndnoteText">
    <w:name w:val="endnote text"/>
    <w:basedOn w:val="Normal"/>
    <w:semiHidden/>
    <w:rsid w:val="00D569BB"/>
    <w:rPr>
      <w:sz w:val="20"/>
    </w:rPr>
  </w:style>
  <w:style w:type="paragraph" w:styleId="EnvelopeAddress">
    <w:name w:val="envelope address"/>
    <w:basedOn w:val="Normal"/>
    <w:rsid w:val="00D569B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D569BB"/>
    <w:rPr>
      <w:rFonts w:ascii="Arial" w:hAnsi="Arial" w:cs="Arial"/>
      <w:sz w:val="20"/>
    </w:rPr>
  </w:style>
  <w:style w:type="paragraph" w:styleId="FootnoteText">
    <w:name w:val="footnote text"/>
    <w:basedOn w:val="Normal"/>
    <w:link w:val="FootnoteTextChar"/>
    <w:semiHidden/>
    <w:rsid w:val="00D569BB"/>
    <w:rPr>
      <w:sz w:val="20"/>
    </w:rPr>
  </w:style>
  <w:style w:type="paragraph" w:styleId="HTMLAddress">
    <w:name w:val="HTML Address"/>
    <w:basedOn w:val="Normal"/>
    <w:rsid w:val="00D569BB"/>
    <w:rPr>
      <w:i/>
      <w:iCs/>
    </w:rPr>
  </w:style>
  <w:style w:type="paragraph" w:styleId="HTMLPreformatted">
    <w:name w:val="HTML Preformatted"/>
    <w:basedOn w:val="Normal"/>
    <w:rsid w:val="00D569BB"/>
    <w:rPr>
      <w:rFonts w:cs="Courier New"/>
      <w:sz w:val="20"/>
    </w:rPr>
  </w:style>
  <w:style w:type="paragraph" w:styleId="Index1">
    <w:name w:val="index 1"/>
    <w:basedOn w:val="Normal"/>
    <w:next w:val="Normal"/>
    <w:autoRedefine/>
    <w:semiHidden/>
    <w:rsid w:val="00D569BB"/>
    <w:pPr>
      <w:ind w:left="240" w:hanging="240"/>
    </w:pPr>
  </w:style>
  <w:style w:type="paragraph" w:styleId="Index2">
    <w:name w:val="index 2"/>
    <w:basedOn w:val="Normal"/>
    <w:next w:val="Normal"/>
    <w:autoRedefine/>
    <w:semiHidden/>
    <w:rsid w:val="00D569BB"/>
    <w:pPr>
      <w:ind w:left="480" w:hanging="240"/>
    </w:pPr>
  </w:style>
  <w:style w:type="paragraph" w:styleId="Index3">
    <w:name w:val="index 3"/>
    <w:basedOn w:val="Normal"/>
    <w:next w:val="Normal"/>
    <w:autoRedefine/>
    <w:semiHidden/>
    <w:rsid w:val="00D569BB"/>
    <w:pPr>
      <w:ind w:left="720" w:hanging="240"/>
    </w:pPr>
  </w:style>
  <w:style w:type="paragraph" w:styleId="Index4">
    <w:name w:val="index 4"/>
    <w:basedOn w:val="Normal"/>
    <w:next w:val="Normal"/>
    <w:autoRedefine/>
    <w:semiHidden/>
    <w:rsid w:val="00D569BB"/>
    <w:pPr>
      <w:ind w:left="960" w:hanging="240"/>
    </w:pPr>
  </w:style>
  <w:style w:type="paragraph" w:styleId="Index5">
    <w:name w:val="index 5"/>
    <w:basedOn w:val="Normal"/>
    <w:next w:val="Normal"/>
    <w:autoRedefine/>
    <w:semiHidden/>
    <w:rsid w:val="00D569BB"/>
    <w:pPr>
      <w:ind w:left="1200" w:hanging="240"/>
    </w:pPr>
  </w:style>
  <w:style w:type="paragraph" w:styleId="Index6">
    <w:name w:val="index 6"/>
    <w:basedOn w:val="Normal"/>
    <w:next w:val="Normal"/>
    <w:autoRedefine/>
    <w:semiHidden/>
    <w:rsid w:val="00D569BB"/>
    <w:pPr>
      <w:ind w:left="1440" w:hanging="240"/>
    </w:pPr>
  </w:style>
  <w:style w:type="paragraph" w:styleId="Index7">
    <w:name w:val="index 7"/>
    <w:basedOn w:val="Normal"/>
    <w:next w:val="Normal"/>
    <w:autoRedefine/>
    <w:semiHidden/>
    <w:rsid w:val="00D569BB"/>
    <w:pPr>
      <w:ind w:left="1680" w:hanging="240"/>
    </w:pPr>
  </w:style>
  <w:style w:type="paragraph" w:styleId="Index8">
    <w:name w:val="index 8"/>
    <w:basedOn w:val="Normal"/>
    <w:next w:val="Normal"/>
    <w:autoRedefine/>
    <w:semiHidden/>
    <w:rsid w:val="00D569BB"/>
    <w:pPr>
      <w:ind w:left="1920" w:hanging="240"/>
    </w:pPr>
  </w:style>
  <w:style w:type="paragraph" w:styleId="Index9">
    <w:name w:val="index 9"/>
    <w:basedOn w:val="Normal"/>
    <w:next w:val="Normal"/>
    <w:autoRedefine/>
    <w:semiHidden/>
    <w:rsid w:val="00D569BB"/>
    <w:pPr>
      <w:ind w:left="2160" w:hanging="240"/>
    </w:pPr>
  </w:style>
  <w:style w:type="paragraph" w:styleId="IndexHeading">
    <w:name w:val="index heading"/>
    <w:basedOn w:val="Normal"/>
    <w:next w:val="Index1"/>
    <w:semiHidden/>
    <w:rsid w:val="00D569BB"/>
    <w:rPr>
      <w:rFonts w:ascii="Arial" w:hAnsi="Arial" w:cs="Arial"/>
      <w:b/>
      <w:bCs/>
    </w:rPr>
  </w:style>
  <w:style w:type="paragraph" w:styleId="List">
    <w:name w:val="List"/>
    <w:basedOn w:val="Normal"/>
    <w:rsid w:val="00D569BB"/>
    <w:pPr>
      <w:ind w:left="360" w:hanging="360"/>
    </w:pPr>
  </w:style>
  <w:style w:type="paragraph" w:styleId="List2">
    <w:name w:val="List 2"/>
    <w:basedOn w:val="Normal"/>
    <w:rsid w:val="00D569BB"/>
    <w:pPr>
      <w:ind w:left="720" w:hanging="360"/>
    </w:pPr>
  </w:style>
  <w:style w:type="paragraph" w:styleId="List3">
    <w:name w:val="List 3"/>
    <w:basedOn w:val="Normal"/>
    <w:rsid w:val="00D569BB"/>
    <w:pPr>
      <w:ind w:left="1080" w:hanging="360"/>
    </w:pPr>
  </w:style>
  <w:style w:type="paragraph" w:styleId="List4">
    <w:name w:val="List 4"/>
    <w:basedOn w:val="Normal"/>
    <w:rsid w:val="00D569BB"/>
    <w:pPr>
      <w:ind w:left="1440" w:hanging="360"/>
    </w:pPr>
  </w:style>
  <w:style w:type="paragraph" w:styleId="List5">
    <w:name w:val="List 5"/>
    <w:basedOn w:val="Normal"/>
    <w:rsid w:val="00D569BB"/>
    <w:pPr>
      <w:ind w:left="1800" w:hanging="360"/>
    </w:pPr>
  </w:style>
  <w:style w:type="paragraph" w:styleId="ListBullet">
    <w:name w:val="List Bullet"/>
    <w:basedOn w:val="Normal"/>
    <w:autoRedefine/>
    <w:rsid w:val="00D569BB"/>
    <w:pPr>
      <w:numPr>
        <w:numId w:val="5"/>
      </w:numPr>
    </w:pPr>
  </w:style>
  <w:style w:type="paragraph" w:styleId="ListBullet2">
    <w:name w:val="List Bullet 2"/>
    <w:basedOn w:val="Normal"/>
    <w:autoRedefine/>
    <w:rsid w:val="00D569BB"/>
    <w:pPr>
      <w:numPr>
        <w:numId w:val="6"/>
      </w:numPr>
    </w:pPr>
  </w:style>
  <w:style w:type="paragraph" w:styleId="ListBullet3">
    <w:name w:val="List Bullet 3"/>
    <w:basedOn w:val="Normal"/>
    <w:autoRedefine/>
    <w:rsid w:val="00D569BB"/>
    <w:pPr>
      <w:numPr>
        <w:numId w:val="7"/>
      </w:numPr>
    </w:pPr>
  </w:style>
  <w:style w:type="paragraph" w:styleId="ListBullet4">
    <w:name w:val="List Bullet 4"/>
    <w:basedOn w:val="Normal"/>
    <w:autoRedefine/>
    <w:rsid w:val="00D569BB"/>
    <w:pPr>
      <w:numPr>
        <w:numId w:val="8"/>
      </w:numPr>
    </w:pPr>
  </w:style>
  <w:style w:type="paragraph" w:styleId="ListBullet5">
    <w:name w:val="List Bullet 5"/>
    <w:basedOn w:val="Normal"/>
    <w:autoRedefine/>
    <w:rsid w:val="00D569BB"/>
    <w:pPr>
      <w:numPr>
        <w:numId w:val="9"/>
      </w:numPr>
    </w:pPr>
  </w:style>
  <w:style w:type="paragraph" w:styleId="ListContinue">
    <w:name w:val="List Continue"/>
    <w:basedOn w:val="Normal"/>
    <w:rsid w:val="00D569BB"/>
    <w:pPr>
      <w:ind w:left="360"/>
    </w:pPr>
  </w:style>
  <w:style w:type="paragraph" w:styleId="ListContinue2">
    <w:name w:val="List Continue 2"/>
    <w:basedOn w:val="Normal"/>
    <w:rsid w:val="00D569BB"/>
    <w:pPr>
      <w:ind w:left="720"/>
    </w:pPr>
  </w:style>
  <w:style w:type="paragraph" w:styleId="ListContinue3">
    <w:name w:val="List Continue 3"/>
    <w:basedOn w:val="Normal"/>
    <w:rsid w:val="00D569BB"/>
    <w:pPr>
      <w:ind w:left="1080"/>
    </w:pPr>
  </w:style>
  <w:style w:type="paragraph" w:styleId="ListContinue4">
    <w:name w:val="List Continue 4"/>
    <w:basedOn w:val="Normal"/>
    <w:rsid w:val="00D569BB"/>
    <w:pPr>
      <w:ind w:left="1440"/>
    </w:pPr>
  </w:style>
  <w:style w:type="paragraph" w:styleId="ListContinue5">
    <w:name w:val="List Continue 5"/>
    <w:basedOn w:val="Normal"/>
    <w:rsid w:val="00D569BB"/>
    <w:pPr>
      <w:ind w:left="1800"/>
    </w:pPr>
  </w:style>
  <w:style w:type="paragraph" w:styleId="ListNumber">
    <w:name w:val="List Number"/>
    <w:basedOn w:val="Normal"/>
    <w:rsid w:val="00D569BB"/>
    <w:pPr>
      <w:numPr>
        <w:numId w:val="10"/>
      </w:numPr>
    </w:pPr>
  </w:style>
  <w:style w:type="paragraph" w:styleId="ListNumber2">
    <w:name w:val="List Number 2"/>
    <w:basedOn w:val="Normal"/>
    <w:rsid w:val="00D569BB"/>
    <w:pPr>
      <w:numPr>
        <w:numId w:val="11"/>
      </w:numPr>
    </w:pPr>
  </w:style>
  <w:style w:type="paragraph" w:styleId="ListNumber3">
    <w:name w:val="List Number 3"/>
    <w:basedOn w:val="Normal"/>
    <w:rsid w:val="00D569BB"/>
    <w:pPr>
      <w:numPr>
        <w:numId w:val="12"/>
      </w:numPr>
    </w:pPr>
  </w:style>
  <w:style w:type="paragraph" w:styleId="ListNumber4">
    <w:name w:val="List Number 4"/>
    <w:basedOn w:val="Normal"/>
    <w:rsid w:val="00D569BB"/>
    <w:pPr>
      <w:numPr>
        <w:numId w:val="13"/>
      </w:numPr>
    </w:pPr>
  </w:style>
  <w:style w:type="paragraph" w:styleId="ListNumber5">
    <w:name w:val="List Number 5"/>
    <w:basedOn w:val="Normal"/>
    <w:rsid w:val="00D569BB"/>
    <w:pPr>
      <w:numPr>
        <w:numId w:val="14"/>
      </w:numPr>
    </w:pPr>
  </w:style>
  <w:style w:type="paragraph" w:styleId="MacroText">
    <w:name w:val="macro"/>
    <w:semiHidden/>
    <w:rsid w:val="00D569BB"/>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rPr>
  </w:style>
  <w:style w:type="paragraph" w:styleId="MessageHeader">
    <w:name w:val="Message Header"/>
    <w:basedOn w:val="Normal"/>
    <w:rsid w:val="00D569B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D569BB"/>
    <w:rPr>
      <w:szCs w:val="24"/>
    </w:rPr>
  </w:style>
  <w:style w:type="paragraph" w:styleId="NoteHeading">
    <w:name w:val="Note Heading"/>
    <w:basedOn w:val="Normal"/>
    <w:next w:val="Normal"/>
    <w:rsid w:val="00D569BB"/>
  </w:style>
  <w:style w:type="paragraph" w:styleId="PlainText">
    <w:name w:val="Plain Text"/>
    <w:basedOn w:val="Normal"/>
    <w:rsid w:val="00D569BB"/>
    <w:rPr>
      <w:rFonts w:cs="Courier New"/>
      <w:sz w:val="20"/>
    </w:rPr>
  </w:style>
  <w:style w:type="paragraph" w:styleId="Salutation">
    <w:name w:val="Salutation"/>
    <w:basedOn w:val="Normal"/>
    <w:next w:val="Normal"/>
    <w:rsid w:val="00D569BB"/>
  </w:style>
  <w:style w:type="paragraph" w:styleId="Signature">
    <w:name w:val="Signature"/>
    <w:basedOn w:val="Normal"/>
    <w:rsid w:val="00D569BB"/>
    <w:pPr>
      <w:ind w:left="4320"/>
    </w:pPr>
  </w:style>
  <w:style w:type="paragraph" w:styleId="Subtitle">
    <w:name w:val="Subtitle"/>
    <w:basedOn w:val="Normal"/>
    <w:qFormat/>
    <w:rsid w:val="00D569BB"/>
    <w:pPr>
      <w:spacing w:after="60"/>
      <w:jc w:val="center"/>
      <w:outlineLvl w:val="1"/>
    </w:pPr>
    <w:rPr>
      <w:rFonts w:ascii="Arial" w:hAnsi="Arial" w:cs="Arial"/>
      <w:szCs w:val="24"/>
    </w:rPr>
  </w:style>
  <w:style w:type="paragraph" w:styleId="TableofAuthorities">
    <w:name w:val="table of authorities"/>
    <w:basedOn w:val="Normal"/>
    <w:next w:val="Normal"/>
    <w:semiHidden/>
    <w:rsid w:val="00D569BB"/>
    <w:pPr>
      <w:ind w:left="240" w:hanging="240"/>
    </w:pPr>
  </w:style>
  <w:style w:type="paragraph" w:styleId="TableofFigures">
    <w:name w:val="table of figures"/>
    <w:basedOn w:val="Normal"/>
    <w:next w:val="Normal"/>
    <w:semiHidden/>
    <w:rsid w:val="00D569BB"/>
    <w:pPr>
      <w:ind w:left="480" w:hanging="480"/>
    </w:pPr>
  </w:style>
  <w:style w:type="paragraph" w:styleId="TOAHeading">
    <w:name w:val="toa heading"/>
    <w:basedOn w:val="Normal"/>
    <w:next w:val="Normal"/>
    <w:semiHidden/>
    <w:rsid w:val="00D569BB"/>
    <w:rPr>
      <w:rFonts w:ascii="Arial" w:hAnsi="Arial" w:cs="Arial"/>
      <w:b/>
      <w:bCs/>
      <w:szCs w:val="24"/>
    </w:rPr>
  </w:style>
  <w:style w:type="character" w:styleId="FollowedHyperlink">
    <w:name w:val="FollowedHyperlink"/>
    <w:basedOn w:val="DefaultParagraphFont"/>
    <w:rsid w:val="00D569BB"/>
    <w:rPr>
      <w:color w:val="800080"/>
      <w:u w:val="single"/>
    </w:rPr>
  </w:style>
  <w:style w:type="paragraph" w:customStyle="1" w:styleId="InsideAddress">
    <w:name w:val="Inside Address"/>
    <w:basedOn w:val="Normal"/>
    <w:rsid w:val="00D569BB"/>
    <w:pPr>
      <w:spacing w:before="0" w:after="0"/>
      <w:jc w:val="left"/>
    </w:pPr>
    <w:rPr>
      <w:rFonts w:ascii="Arial" w:hAnsi="Arial"/>
      <w:sz w:val="20"/>
    </w:rPr>
  </w:style>
  <w:style w:type="character" w:styleId="FootnoteReference">
    <w:name w:val="footnote reference"/>
    <w:basedOn w:val="DefaultParagraphFont"/>
    <w:semiHidden/>
    <w:unhideWhenUsed/>
    <w:rsid w:val="00DC62F6"/>
    <w:rPr>
      <w:vertAlign w:val="superscript"/>
    </w:rPr>
  </w:style>
  <w:style w:type="paragraph" w:styleId="BalloonText">
    <w:name w:val="Balloon Text"/>
    <w:basedOn w:val="Normal"/>
    <w:link w:val="BalloonTextChar"/>
    <w:uiPriority w:val="99"/>
    <w:semiHidden/>
    <w:unhideWhenUsed/>
    <w:rsid w:val="00C80D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5F"/>
    <w:rPr>
      <w:rFonts w:ascii="Tahoma" w:hAnsi="Tahoma" w:cs="Tahoma"/>
      <w:sz w:val="16"/>
      <w:szCs w:val="16"/>
    </w:rPr>
  </w:style>
  <w:style w:type="character" w:customStyle="1" w:styleId="FooterChar">
    <w:name w:val="Footer Char"/>
    <w:basedOn w:val="DefaultParagraphFont"/>
    <w:link w:val="Footer"/>
    <w:uiPriority w:val="99"/>
    <w:rsid w:val="00290DC2"/>
    <w:rPr>
      <w:rFonts w:ascii="Courier New" w:hAnsi="Courier New"/>
    </w:rPr>
  </w:style>
  <w:style w:type="paragraph" w:styleId="ListParagraph">
    <w:name w:val="List Paragraph"/>
    <w:basedOn w:val="Normal"/>
    <w:uiPriority w:val="34"/>
    <w:qFormat/>
    <w:rsid w:val="005373B0"/>
    <w:pPr>
      <w:ind w:left="720"/>
      <w:contextualSpacing/>
    </w:pPr>
  </w:style>
  <w:style w:type="character" w:customStyle="1" w:styleId="FootnoteTextChar">
    <w:name w:val="Footnote Text Char"/>
    <w:basedOn w:val="DefaultParagraphFont"/>
    <w:link w:val="FootnoteText"/>
    <w:semiHidden/>
    <w:rsid w:val="00574242"/>
    <w:rPr>
      <w:rFonts w:ascii="Courier New" w:hAnsi="Courier New"/>
      <w:sz w:val="20"/>
    </w:rPr>
  </w:style>
  <w:style w:type="table" w:styleId="TableGrid">
    <w:name w:val="Table Grid"/>
    <w:basedOn w:val="TableNormal"/>
    <w:uiPriority w:val="59"/>
    <w:rsid w:val="00B5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D633D"/>
    <w:pPr>
      <w:keepLine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character" w:styleId="EndnoteReference">
    <w:name w:val="endnote reference"/>
    <w:basedOn w:val="DefaultParagraphFont"/>
    <w:uiPriority w:val="99"/>
    <w:semiHidden/>
    <w:unhideWhenUsed/>
    <w:rsid w:val="00440A89"/>
    <w:rPr>
      <w:vertAlign w:val="superscript"/>
    </w:rPr>
  </w:style>
  <w:style w:type="paragraph" w:styleId="Header">
    <w:name w:val="header"/>
    <w:basedOn w:val="Normal"/>
    <w:link w:val="HeaderChar"/>
    <w:rsid w:val="0040473C"/>
    <w:pPr>
      <w:tabs>
        <w:tab w:val="center" w:pos="4320"/>
        <w:tab w:val="right" w:pos="8640"/>
      </w:tabs>
      <w:spacing w:before="0" w:after="0" w:line="240" w:lineRule="atLeast"/>
    </w:pPr>
  </w:style>
  <w:style w:type="character" w:customStyle="1" w:styleId="HeaderChar">
    <w:name w:val="Header Char"/>
    <w:basedOn w:val="DefaultParagraphFont"/>
    <w:link w:val="Header"/>
    <w:rsid w:val="0040473C"/>
  </w:style>
  <w:style w:type="character" w:customStyle="1" w:styleId="Heading1Char">
    <w:name w:val="Heading 1 Char"/>
    <w:basedOn w:val="DefaultParagraphFont"/>
    <w:link w:val="Heading1"/>
    <w:uiPriority w:val="9"/>
    <w:rsid w:val="00645391"/>
    <w:rPr>
      <w:b/>
      <w:sz w:val="30"/>
      <w:szCs w:val="24"/>
    </w:rPr>
  </w:style>
  <w:style w:type="character" w:customStyle="1" w:styleId="BodyTextIndentChar">
    <w:name w:val="Body Text Indent Char"/>
    <w:basedOn w:val="DefaultParagraphFont"/>
    <w:link w:val="BodyTextIndent"/>
    <w:rsid w:val="0040473C"/>
    <w:rPr>
      <w:b/>
      <w:u w:val="single"/>
    </w:rPr>
  </w:style>
  <w:style w:type="character" w:customStyle="1" w:styleId="Heading2Char">
    <w:name w:val="Heading 2 Char"/>
    <w:aliases w:val="Heading PART III Section Char"/>
    <w:basedOn w:val="DefaultParagraphFont"/>
    <w:link w:val="Heading2"/>
    <w:uiPriority w:val="9"/>
    <w:rsid w:val="003B02BA"/>
    <w:rPr>
      <w:sz w:val="26"/>
      <w:szCs w:val="24"/>
    </w:rPr>
  </w:style>
  <w:style w:type="paragraph" w:customStyle="1" w:styleId="Indent">
    <w:name w:val="Indent"/>
    <w:basedOn w:val="Normal"/>
    <w:rsid w:val="0040473C"/>
    <w:pPr>
      <w:spacing w:before="0" w:after="0"/>
      <w:ind w:left="720" w:right="720"/>
      <w:jc w:val="left"/>
    </w:pPr>
    <w:rPr>
      <w:rFonts w:ascii="Courier New" w:hAnsi="Courier New"/>
    </w:rPr>
  </w:style>
  <w:style w:type="character" w:customStyle="1" w:styleId="Heading3Char">
    <w:name w:val="Heading 3 Char"/>
    <w:basedOn w:val="DefaultParagraphFont"/>
    <w:link w:val="Heading3"/>
    <w:uiPriority w:val="9"/>
    <w:rsid w:val="0040473C"/>
    <w:rPr>
      <w:u w:val="single"/>
    </w:rPr>
  </w:style>
  <w:style w:type="character" w:customStyle="1" w:styleId="BodyTextChar">
    <w:name w:val="Body Text Char"/>
    <w:basedOn w:val="DefaultParagraphFont"/>
    <w:link w:val="BodyText"/>
    <w:uiPriority w:val="99"/>
    <w:rsid w:val="0040473C"/>
  </w:style>
  <w:style w:type="character" w:customStyle="1" w:styleId="Heading5Char">
    <w:name w:val="Heading 5 Char"/>
    <w:basedOn w:val="DefaultParagraphFont"/>
    <w:link w:val="Heading5"/>
    <w:uiPriority w:val="9"/>
    <w:rsid w:val="0040473C"/>
    <w:rPr>
      <w:b/>
      <w:bCs/>
      <w:i/>
      <w:iCs/>
      <w:sz w:val="26"/>
      <w:szCs w:val="26"/>
    </w:rPr>
  </w:style>
  <w:style w:type="paragraph" w:customStyle="1" w:styleId="Default">
    <w:name w:val="Default"/>
    <w:rsid w:val="00195519"/>
    <w:pPr>
      <w:autoSpaceDE w:val="0"/>
      <w:autoSpaceDN w:val="0"/>
      <w:adjustRightInd w:val="0"/>
    </w:pPr>
    <w:rPr>
      <w:color w:val="000000"/>
      <w:szCs w:val="24"/>
    </w:rPr>
  </w:style>
  <w:style w:type="character" w:styleId="UnresolvedMention">
    <w:name w:val="Unresolved Mention"/>
    <w:basedOn w:val="DefaultParagraphFont"/>
    <w:uiPriority w:val="99"/>
    <w:semiHidden/>
    <w:unhideWhenUsed/>
    <w:rsid w:val="00E325CF"/>
    <w:rPr>
      <w:color w:val="808080"/>
      <w:shd w:val="clear" w:color="auto" w:fill="E6E6E6"/>
    </w:rPr>
  </w:style>
  <w:style w:type="character" w:styleId="Emphasis">
    <w:name w:val="Emphasis"/>
    <w:basedOn w:val="DefaultParagraphFont"/>
    <w:uiPriority w:val="20"/>
    <w:qFormat/>
    <w:rsid w:val="005E26DF"/>
    <w:rPr>
      <w:i/>
      <w:iCs/>
    </w:rPr>
  </w:style>
  <w:style w:type="paragraph" w:customStyle="1" w:styleId="Bullet1">
    <w:name w:val="Bullet1"/>
    <w:basedOn w:val="Normal"/>
    <w:autoRedefine/>
    <w:rsid w:val="00A977AC"/>
    <w:pPr>
      <w:numPr>
        <w:numId w:val="50"/>
      </w:numPr>
      <w:tabs>
        <w:tab w:val="clear" w:pos="360"/>
      </w:tabs>
      <w:spacing w:before="40" w:after="40"/>
      <w:ind w:left="720"/>
      <w:jc w:val="left"/>
    </w:pPr>
  </w:style>
  <w:style w:type="paragraph" w:styleId="Revision">
    <w:name w:val="Revision"/>
    <w:hidden/>
    <w:uiPriority w:val="99"/>
    <w:semiHidden/>
    <w:rsid w:val="0065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2290">
      <w:bodyDiv w:val="1"/>
      <w:marLeft w:val="0"/>
      <w:marRight w:val="0"/>
      <w:marTop w:val="0"/>
      <w:marBottom w:val="0"/>
      <w:divBdr>
        <w:top w:val="none" w:sz="0" w:space="0" w:color="auto"/>
        <w:left w:val="none" w:sz="0" w:space="0" w:color="auto"/>
        <w:bottom w:val="none" w:sz="0" w:space="0" w:color="auto"/>
        <w:right w:val="none" w:sz="0" w:space="0" w:color="auto"/>
      </w:divBdr>
    </w:div>
    <w:div w:id="52504341">
      <w:bodyDiv w:val="1"/>
      <w:marLeft w:val="0"/>
      <w:marRight w:val="0"/>
      <w:marTop w:val="0"/>
      <w:marBottom w:val="0"/>
      <w:divBdr>
        <w:top w:val="none" w:sz="0" w:space="0" w:color="auto"/>
        <w:left w:val="none" w:sz="0" w:space="0" w:color="auto"/>
        <w:bottom w:val="none" w:sz="0" w:space="0" w:color="auto"/>
        <w:right w:val="none" w:sz="0" w:space="0" w:color="auto"/>
      </w:divBdr>
    </w:div>
    <w:div w:id="136456016">
      <w:bodyDiv w:val="1"/>
      <w:marLeft w:val="0"/>
      <w:marRight w:val="0"/>
      <w:marTop w:val="0"/>
      <w:marBottom w:val="0"/>
      <w:divBdr>
        <w:top w:val="none" w:sz="0" w:space="0" w:color="auto"/>
        <w:left w:val="none" w:sz="0" w:space="0" w:color="auto"/>
        <w:bottom w:val="none" w:sz="0" w:space="0" w:color="auto"/>
        <w:right w:val="none" w:sz="0" w:space="0" w:color="auto"/>
      </w:divBdr>
    </w:div>
    <w:div w:id="186600187">
      <w:bodyDiv w:val="1"/>
      <w:marLeft w:val="0"/>
      <w:marRight w:val="0"/>
      <w:marTop w:val="0"/>
      <w:marBottom w:val="0"/>
      <w:divBdr>
        <w:top w:val="none" w:sz="0" w:space="0" w:color="auto"/>
        <w:left w:val="none" w:sz="0" w:space="0" w:color="auto"/>
        <w:bottom w:val="none" w:sz="0" w:space="0" w:color="auto"/>
        <w:right w:val="none" w:sz="0" w:space="0" w:color="auto"/>
      </w:divBdr>
    </w:div>
    <w:div w:id="420377652">
      <w:bodyDiv w:val="1"/>
      <w:marLeft w:val="0"/>
      <w:marRight w:val="0"/>
      <w:marTop w:val="0"/>
      <w:marBottom w:val="0"/>
      <w:divBdr>
        <w:top w:val="none" w:sz="0" w:space="0" w:color="auto"/>
        <w:left w:val="none" w:sz="0" w:space="0" w:color="auto"/>
        <w:bottom w:val="none" w:sz="0" w:space="0" w:color="auto"/>
        <w:right w:val="none" w:sz="0" w:space="0" w:color="auto"/>
      </w:divBdr>
    </w:div>
    <w:div w:id="568536543">
      <w:bodyDiv w:val="1"/>
      <w:marLeft w:val="0"/>
      <w:marRight w:val="0"/>
      <w:marTop w:val="0"/>
      <w:marBottom w:val="0"/>
      <w:divBdr>
        <w:top w:val="none" w:sz="0" w:space="0" w:color="auto"/>
        <w:left w:val="none" w:sz="0" w:space="0" w:color="auto"/>
        <w:bottom w:val="none" w:sz="0" w:space="0" w:color="auto"/>
        <w:right w:val="none" w:sz="0" w:space="0" w:color="auto"/>
      </w:divBdr>
    </w:div>
    <w:div w:id="574974707">
      <w:bodyDiv w:val="1"/>
      <w:marLeft w:val="0"/>
      <w:marRight w:val="0"/>
      <w:marTop w:val="0"/>
      <w:marBottom w:val="0"/>
      <w:divBdr>
        <w:top w:val="none" w:sz="0" w:space="0" w:color="auto"/>
        <w:left w:val="none" w:sz="0" w:space="0" w:color="auto"/>
        <w:bottom w:val="none" w:sz="0" w:space="0" w:color="auto"/>
        <w:right w:val="none" w:sz="0" w:space="0" w:color="auto"/>
      </w:divBdr>
    </w:div>
    <w:div w:id="619844690">
      <w:bodyDiv w:val="1"/>
      <w:marLeft w:val="0"/>
      <w:marRight w:val="0"/>
      <w:marTop w:val="0"/>
      <w:marBottom w:val="0"/>
      <w:divBdr>
        <w:top w:val="none" w:sz="0" w:space="0" w:color="auto"/>
        <w:left w:val="none" w:sz="0" w:space="0" w:color="auto"/>
        <w:bottom w:val="none" w:sz="0" w:space="0" w:color="auto"/>
        <w:right w:val="none" w:sz="0" w:space="0" w:color="auto"/>
      </w:divBdr>
    </w:div>
    <w:div w:id="805394026">
      <w:bodyDiv w:val="1"/>
      <w:marLeft w:val="0"/>
      <w:marRight w:val="0"/>
      <w:marTop w:val="0"/>
      <w:marBottom w:val="0"/>
      <w:divBdr>
        <w:top w:val="none" w:sz="0" w:space="0" w:color="auto"/>
        <w:left w:val="none" w:sz="0" w:space="0" w:color="auto"/>
        <w:bottom w:val="none" w:sz="0" w:space="0" w:color="auto"/>
        <w:right w:val="none" w:sz="0" w:space="0" w:color="auto"/>
      </w:divBdr>
    </w:div>
    <w:div w:id="909734831">
      <w:bodyDiv w:val="1"/>
      <w:marLeft w:val="0"/>
      <w:marRight w:val="0"/>
      <w:marTop w:val="0"/>
      <w:marBottom w:val="0"/>
      <w:divBdr>
        <w:top w:val="none" w:sz="0" w:space="0" w:color="auto"/>
        <w:left w:val="none" w:sz="0" w:space="0" w:color="auto"/>
        <w:bottom w:val="none" w:sz="0" w:space="0" w:color="auto"/>
        <w:right w:val="none" w:sz="0" w:space="0" w:color="auto"/>
      </w:divBdr>
    </w:div>
    <w:div w:id="962467479">
      <w:bodyDiv w:val="1"/>
      <w:marLeft w:val="0"/>
      <w:marRight w:val="0"/>
      <w:marTop w:val="0"/>
      <w:marBottom w:val="0"/>
      <w:divBdr>
        <w:top w:val="none" w:sz="0" w:space="0" w:color="auto"/>
        <w:left w:val="none" w:sz="0" w:space="0" w:color="auto"/>
        <w:bottom w:val="none" w:sz="0" w:space="0" w:color="auto"/>
        <w:right w:val="none" w:sz="0" w:space="0" w:color="auto"/>
      </w:divBdr>
    </w:div>
    <w:div w:id="992563118">
      <w:bodyDiv w:val="1"/>
      <w:marLeft w:val="0"/>
      <w:marRight w:val="0"/>
      <w:marTop w:val="0"/>
      <w:marBottom w:val="0"/>
      <w:divBdr>
        <w:top w:val="none" w:sz="0" w:space="0" w:color="auto"/>
        <w:left w:val="none" w:sz="0" w:space="0" w:color="auto"/>
        <w:bottom w:val="none" w:sz="0" w:space="0" w:color="auto"/>
        <w:right w:val="none" w:sz="0" w:space="0" w:color="auto"/>
      </w:divBdr>
    </w:div>
    <w:div w:id="1026642396">
      <w:bodyDiv w:val="1"/>
      <w:marLeft w:val="0"/>
      <w:marRight w:val="0"/>
      <w:marTop w:val="0"/>
      <w:marBottom w:val="0"/>
      <w:divBdr>
        <w:top w:val="none" w:sz="0" w:space="0" w:color="auto"/>
        <w:left w:val="none" w:sz="0" w:space="0" w:color="auto"/>
        <w:bottom w:val="none" w:sz="0" w:space="0" w:color="auto"/>
        <w:right w:val="none" w:sz="0" w:space="0" w:color="auto"/>
      </w:divBdr>
    </w:div>
    <w:div w:id="1069495948">
      <w:bodyDiv w:val="1"/>
      <w:marLeft w:val="0"/>
      <w:marRight w:val="0"/>
      <w:marTop w:val="0"/>
      <w:marBottom w:val="0"/>
      <w:divBdr>
        <w:top w:val="none" w:sz="0" w:space="0" w:color="auto"/>
        <w:left w:val="none" w:sz="0" w:space="0" w:color="auto"/>
        <w:bottom w:val="none" w:sz="0" w:space="0" w:color="auto"/>
        <w:right w:val="none" w:sz="0" w:space="0" w:color="auto"/>
      </w:divBdr>
    </w:div>
    <w:div w:id="1229145636">
      <w:bodyDiv w:val="1"/>
      <w:marLeft w:val="0"/>
      <w:marRight w:val="0"/>
      <w:marTop w:val="0"/>
      <w:marBottom w:val="0"/>
      <w:divBdr>
        <w:top w:val="none" w:sz="0" w:space="0" w:color="auto"/>
        <w:left w:val="none" w:sz="0" w:space="0" w:color="auto"/>
        <w:bottom w:val="none" w:sz="0" w:space="0" w:color="auto"/>
        <w:right w:val="none" w:sz="0" w:space="0" w:color="auto"/>
      </w:divBdr>
    </w:div>
    <w:div w:id="1376584474">
      <w:bodyDiv w:val="1"/>
      <w:marLeft w:val="0"/>
      <w:marRight w:val="0"/>
      <w:marTop w:val="0"/>
      <w:marBottom w:val="0"/>
      <w:divBdr>
        <w:top w:val="none" w:sz="0" w:space="0" w:color="auto"/>
        <w:left w:val="none" w:sz="0" w:space="0" w:color="auto"/>
        <w:bottom w:val="none" w:sz="0" w:space="0" w:color="auto"/>
        <w:right w:val="none" w:sz="0" w:space="0" w:color="auto"/>
      </w:divBdr>
    </w:div>
    <w:div w:id="1403215484">
      <w:bodyDiv w:val="1"/>
      <w:marLeft w:val="0"/>
      <w:marRight w:val="0"/>
      <w:marTop w:val="0"/>
      <w:marBottom w:val="0"/>
      <w:divBdr>
        <w:top w:val="none" w:sz="0" w:space="0" w:color="auto"/>
        <w:left w:val="none" w:sz="0" w:space="0" w:color="auto"/>
        <w:bottom w:val="none" w:sz="0" w:space="0" w:color="auto"/>
        <w:right w:val="none" w:sz="0" w:space="0" w:color="auto"/>
      </w:divBdr>
    </w:div>
    <w:div w:id="1578632176">
      <w:bodyDiv w:val="1"/>
      <w:marLeft w:val="0"/>
      <w:marRight w:val="0"/>
      <w:marTop w:val="0"/>
      <w:marBottom w:val="0"/>
      <w:divBdr>
        <w:top w:val="none" w:sz="0" w:space="0" w:color="auto"/>
        <w:left w:val="none" w:sz="0" w:space="0" w:color="auto"/>
        <w:bottom w:val="none" w:sz="0" w:space="0" w:color="auto"/>
        <w:right w:val="none" w:sz="0" w:space="0" w:color="auto"/>
      </w:divBdr>
    </w:div>
    <w:div w:id="1606841980">
      <w:bodyDiv w:val="1"/>
      <w:marLeft w:val="0"/>
      <w:marRight w:val="0"/>
      <w:marTop w:val="0"/>
      <w:marBottom w:val="0"/>
      <w:divBdr>
        <w:top w:val="none" w:sz="0" w:space="0" w:color="auto"/>
        <w:left w:val="none" w:sz="0" w:space="0" w:color="auto"/>
        <w:bottom w:val="none" w:sz="0" w:space="0" w:color="auto"/>
        <w:right w:val="none" w:sz="0" w:space="0" w:color="auto"/>
      </w:divBdr>
    </w:div>
    <w:div w:id="1643391630">
      <w:bodyDiv w:val="1"/>
      <w:marLeft w:val="0"/>
      <w:marRight w:val="0"/>
      <w:marTop w:val="0"/>
      <w:marBottom w:val="0"/>
      <w:divBdr>
        <w:top w:val="none" w:sz="0" w:space="0" w:color="auto"/>
        <w:left w:val="none" w:sz="0" w:space="0" w:color="auto"/>
        <w:bottom w:val="none" w:sz="0" w:space="0" w:color="auto"/>
        <w:right w:val="none" w:sz="0" w:space="0" w:color="auto"/>
      </w:divBdr>
    </w:div>
    <w:div w:id="1800562514">
      <w:bodyDiv w:val="1"/>
      <w:marLeft w:val="0"/>
      <w:marRight w:val="0"/>
      <w:marTop w:val="0"/>
      <w:marBottom w:val="0"/>
      <w:divBdr>
        <w:top w:val="none" w:sz="0" w:space="0" w:color="auto"/>
        <w:left w:val="none" w:sz="0" w:space="0" w:color="auto"/>
        <w:bottom w:val="none" w:sz="0" w:space="0" w:color="auto"/>
        <w:right w:val="none" w:sz="0" w:space="0" w:color="auto"/>
      </w:divBdr>
    </w:div>
    <w:div w:id="1970283816">
      <w:bodyDiv w:val="1"/>
      <w:marLeft w:val="0"/>
      <w:marRight w:val="0"/>
      <w:marTop w:val="0"/>
      <w:marBottom w:val="0"/>
      <w:divBdr>
        <w:top w:val="none" w:sz="0" w:space="0" w:color="auto"/>
        <w:left w:val="none" w:sz="0" w:space="0" w:color="auto"/>
        <w:bottom w:val="none" w:sz="0" w:space="0" w:color="auto"/>
        <w:right w:val="none" w:sz="0" w:space="0" w:color="auto"/>
      </w:divBdr>
    </w:div>
    <w:div w:id="21313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hyperlink" Target="http://www.GFOA.org" TargetMode="Externa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settings" Target="settings.xml"/><Relationship Id="rId12" Type="http://schemas.openxmlformats.org/officeDocument/2006/relationships/hyperlink" Target="mailto:ACFR@cg.sc.gov" TargetMode="External"/><Relationship Id="rId17" Type="http://schemas.openxmlformats.org/officeDocument/2006/relationships/oleObject" Target="embeddings/Microsoft_Excel_97-2003_Worksheet.xls"/><Relationship Id="rId25" Type="http://schemas.openxmlformats.org/officeDocument/2006/relationships/hyperlink" Target="http://www.gfoa.org/for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FR@cg.sc.gov" TargetMode="External"/><Relationship Id="rId24" Type="http://schemas.openxmlformats.org/officeDocument/2006/relationships/hyperlink" Target="http://www.aicp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package" Target="embeddings/Microsoft_Excel_Worksheet3.xlsx"/><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oleObject" Target="embeddings/Microsoft_Excel_97-2003_Worksheet1.xls"/><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image" Target="media/image5.emf"/><Relationship Id="rId27" Type="http://schemas.openxmlformats.org/officeDocument/2006/relationships/hyperlink" Target="http://www.asc.fasb.org"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GAAPMAN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579C0F502CC249B8D79F4DBDE58AB4" ma:contentTypeVersion="2" ma:contentTypeDescription="Create a new document." ma:contentTypeScope="" ma:versionID="6169ad867db65084cd54fb5dd76ac3b7">
  <xsd:schema xmlns:xsd="http://www.w3.org/2001/XMLSchema" xmlns:p="http://schemas.microsoft.com/office/2006/metadata/properties" xmlns:ns1="http://schemas.microsoft.com/sharepoint/v3" targetNamespace="http://schemas.microsoft.com/office/2006/metadata/properties" ma:root="true" ma:fieldsID="f7ae16946f172e34d3d721fa3e482e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97E854-3D30-4FB2-AC0F-E96E57594372}">
  <ds:schemaRefs>
    <ds:schemaRef ds:uri="http://schemas.openxmlformats.org/officeDocument/2006/bibliography"/>
  </ds:schemaRefs>
</ds:datastoreItem>
</file>

<file path=customXml/itemProps2.xml><?xml version="1.0" encoding="utf-8"?>
<ds:datastoreItem xmlns:ds="http://schemas.openxmlformats.org/officeDocument/2006/customXml" ds:itemID="{9BCB3FA5-89D6-4391-892B-AFC0E664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60B359-5378-4BC5-99CE-3A652912C0C1}">
  <ds:schemaRefs>
    <ds:schemaRef ds:uri="http://schemas.microsoft.com/sharepoint/v3/contenttype/forms"/>
  </ds:schemaRefs>
</ds:datastoreItem>
</file>

<file path=customXml/itemProps4.xml><?xml version="1.0" encoding="utf-8"?>
<ds:datastoreItem xmlns:ds="http://schemas.openxmlformats.org/officeDocument/2006/customXml" ds:itemID="{35AC9708-832B-4B62-B3CD-2C4763D6A7F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GAAPMANL</Template>
  <TotalTime>3724</TotalTime>
  <Pages>130</Pages>
  <Words>40398</Words>
  <Characters>237912</Characters>
  <Application>Microsoft Office Word</Application>
  <DocSecurity>0</DocSecurity>
  <Lines>1982</Lines>
  <Paragraphs>555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277755</CharactersWithSpaces>
  <SharedDoc>false</SharedDoc>
  <HLinks>
    <vt:vector size="318" baseType="variant">
      <vt:variant>
        <vt:i4>3801145</vt:i4>
      </vt:variant>
      <vt:variant>
        <vt:i4>297</vt:i4>
      </vt:variant>
      <vt:variant>
        <vt:i4>0</vt:i4>
      </vt:variant>
      <vt:variant>
        <vt:i4>5</vt:i4>
      </vt:variant>
      <vt:variant>
        <vt:lpwstr>http://www.scacpa.org/</vt:lpwstr>
      </vt:variant>
      <vt:variant>
        <vt:lpwstr/>
      </vt:variant>
      <vt:variant>
        <vt:i4>262237</vt:i4>
      </vt:variant>
      <vt:variant>
        <vt:i4>294</vt:i4>
      </vt:variant>
      <vt:variant>
        <vt:i4>0</vt:i4>
      </vt:variant>
      <vt:variant>
        <vt:i4>5</vt:i4>
      </vt:variant>
      <vt:variant>
        <vt:lpwstr>http://www.state.sc.us/gfoa/index.htm</vt:lpwstr>
      </vt:variant>
      <vt:variant>
        <vt:lpwstr/>
      </vt:variant>
      <vt:variant>
        <vt:i4>5046363</vt:i4>
      </vt:variant>
      <vt:variant>
        <vt:i4>291</vt:i4>
      </vt:variant>
      <vt:variant>
        <vt:i4>0</vt:i4>
      </vt:variant>
      <vt:variant>
        <vt:i4>5</vt:i4>
      </vt:variant>
      <vt:variant>
        <vt:lpwstr>http://www.fasb.org/</vt:lpwstr>
      </vt:variant>
      <vt:variant>
        <vt:lpwstr/>
      </vt:variant>
      <vt:variant>
        <vt:i4>5242975</vt:i4>
      </vt:variant>
      <vt:variant>
        <vt:i4>288</vt:i4>
      </vt:variant>
      <vt:variant>
        <vt:i4>0</vt:i4>
      </vt:variant>
      <vt:variant>
        <vt:i4>5</vt:i4>
      </vt:variant>
      <vt:variant>
        <vt:lpwstr>http://www.gfoa.org/</vt:lpwstr>
      </vt:variant>
      <vt:variant>
        <vt:lpwstr/>
      </vt:variant>
      <vt:variant>
        <vt:i4>8192056</vt:i4>
      </vt:variant>
      <vt:variant>
        <vt:i4>285</vt:i4>
      </vt:variant>
      <vt:variant>
        <vt:i4>0</vt:i4>
      </vt:variant>
      <vt:variant>
        <vt:i4>5</vt:i4>
      </vt:variant>
      <vt:variant>
        <vt:lpwstr>http://www.gfoa.org/forms/</vt:lpwstr>
      </vt:variant>
      <vt:variant>
        <vt:lpwstr/>
      </vt:variant>
      <vt:variant>
        <vt:i4>4194325</vt:i4>
      </vt:variant>
      <vt:variant>
        <vt:i4>282</vt:i4>
      </vt:variant>
      <vt:variant>
        <vt:i4>0</vt:i4>
      </vt:variant>
      <vt:variant>
        <vt:i4>5</vt:i4>
      </vt:variant>
      <vt:variant>
        <vt:lpwstr>http://www.aicpa.org/</vt:lpwstr>
      </vt:variant>
      <vt:variant>
        <vt:lpwstr/>
      </vt:variant>
      <vt:variant>
        <vt:i4>4980827</vt:i4>
      </vt:variant>
      <vt:variant>
        <vt:i4>279</vt:i4>
      </vt:variant>
      <vt:variant>
        <vt:i4>0</vt:i4>
      </vt:variant>
      <vt:variant>
        <vt:i4>5</vt:i4>
      </vt:variant>
      <vt:variant>
        <vt:lpwstr>http://www.gasb.org/</vt:lpwstr>
      </vt:variant>
      <vt:variant>
        <vt:lpwstr/>
      </vt:variant>
      <vt:variant>
        <vt:i4>1048624</vt:i4>
      </vt:variant>
      <vt:variant>
        <vt:i4>272</vt:i4>
      </vt:variant>
      <vt:variant>
        <vt:i4>0</vt:i4>
      </vt:variant>
      <vt:variant>
        <vt:i4>5</vt:i4>
      </vt:variant>
      <vt:variant>
        <vt:lpwstr/>
      </vt:variant>
      <vt:variant>
        <vt:lpwstr>_Toc107731512</vt:lpwstr>
      </vt:variant>
      <vt:variant>
        <vt:i4>1048624</vt:i4>
      </vt:variant>
      <vt:variant>
        <vt:i4>266</vt:i4>
      </vt:variant>
      <vt:variant>
        <vt:i4>0</vt:i4>
      </vt:variant>
      <vt:variant>
        <vt:i4>5</vt:i4>
      </vt:variant>
      <vt:variant>
        <vt:lpwstr/>
      </vt:variant>
      <vt:variant>
        <vt:lpwstr>_Toc107731511</vt:lpwstr>
      </vt:variant>
      <vt:variant>
        <vt:i4>1048624</vt:i4>
      </vt:variant>
      <vt:variant>
        <vt:i4>260</vt:i4>
      </vt:variant>
      <vt:variant>
        <vt:i4>0</vt:i4>
      </vt:variant>
      <vt:variant>
        <vt:i4>5</vt:i4>
      </vt:variant>
      <vt:variant>
        <vt:lpwstr/>
      </vt:variant>
      <vt:variant>
        <vt:lpwstr>_Toc107731510</vt:lpwstr>
      </vt:variant>
      <vt:variant>
        <vt:i4>1114160</vt:i4>
      </vt:variant>
      <vt:variant>
        <vt:i4>254</vt:i4>
      </vt:variant>
      <vt:variant>
        <vt:i4>0</vt:i4>
      </vt:variant>
      <vt:variant>
        <vt:i4>5</vt:i4>
      </vt:variant>
      <vt:variant>
        <vt:lpwstr/>
      </vt:variant>
      <vt:variant>
        <vt:lpwstr>_Toc107731509</vt:lpwstr>
      </vt:variant>
      <vt:variant>
        <vt:i4>1114160</vt:i4>
      </vt:variant>
      <vt:variant>
        <vt:i4>248</vt:i4>
      </vt:variant>
      <vt:variant>
        <vt:i4>0</vt:i4>
      </vt:variant>
      <vt:variant>
        <vt:i4>5</vt:i4>
      </vt:variant>
      <vt:variant>
        <vt:lpwstr/>
      </vt:variant>
      <vt:variant>
        <vt:lpwstr>_Toc107731508</vt:lpwstr>
      </vt:variant>
      <vt:variant>
        <vt:i4>1114160</vt:i4>
      </vt:variant>
      <vt:variant>
        <vt:i4>242</vt:i4>
      </vt:variant>
      <vt:variant>
        <vt:i4>0</vt:i4>
      </vt:variant>
      <vt:variant>
        <vt:i4>5</vt:i4>
      </vt:variant>
      <vt:variant>
        <vt:lpwstr/>
      </vt:variant>
      <vt:variant>
        <vt:lpwstr>_Toc107731507</vt:lpwstr>
      </vt:variant>
      <vt:variant>
        <vt:i4>1114160</vt:i4>
      </vt:variant>
      <vt:variant>
        <vt:i4>236</vt:i4>
      </vt:variant>
      <vt:variant>
        <vt:i4>0</vt:i4>
      </vt:variant>
      <vt:variant>
        <vt:i4>5</vt:i4>
      </vt:variant>
      <vt:variant>
        <vt:lpwstr/>
      </vt:variant>
      <vt:variant>
        <vt:lpwstr>_Toc107731506</vt:lpwstr>
      </vt:variant>
      <vt:variant>
        <vt:i4>1114160</vt:i4>
      </vt:variant>
      <vt:variant>
        <vt:i4>230</vt:i4>
      </vt:variant>
      <vt:variant>
        <vt:i4>0</vt:i4>
      </vt:variant>
      <vt:variant>
        <vt:i4>5</vt:i4>
      </vt:variant>
      <vt:variant>
        <vt:lpwstr/>
      </vt:variant>
      <vt:variant>
        <vt:lpwstr>_Toc107731505</vt:lpwstr>
      </vt:variant>
      <vt:variant>
        <vt:i4>1114160</vt:i4>
      </vt:variant>
      <vt:variant>
        <vt:i4>224</vt:i4>
      </vt:variant>
      <vt:variant>
        <vt:i4>0</vt:i4>
      </vt:variant>
      <vt:variant>
        <vt:i4>5</vt:i4>
      </vt:variant>
      <vt:variant>
        <vt:lpwstr/>
      </vt:variant>
      <vt:variant>
        <vt:lpwstr>_Toc107731504</vt:lpwstr>
      </vt:variant>
      <vt:variant>
        <vt:i4>1114160</vt:i4>
      </vt:variant>
      <vt:variant>
        <vt:i4>218</vt:i4>
      </vt:variant>
      <vt:variant>
        <vt:i4>0</vt:i4>
      </vt:variant>
      <vt:variant>
        <vt:i4>5</vt:i4>
      </vt:variant>
      <vt:variant>
        <vt:lpwstr/>
      </vt:variant>
      <vt:variant>
        <vt:lpwstr>_Toc107731503</vt:lpwstr>
      </vt:variant>
      <vt:variant>
        <vt:i4>1114160</vt:i4>
      </vt:variant>
      <vt:variant>
        <vt:i4>212</vt:i4>
      </vt:variant>
      <vt:variant>
        <vt:i4>0</vt:i4>
      </vt:variant>
      <vt:variant>
        <vt:i4>5</vt:i4>
      </vt:variant>
      <vt:variant>
        <vt:lpwstr/>
      </vt:variant>
      <vt:variant>
        <vt:lpwstr>_Toc107731502</vt:lpwstr>
      </vt:variant>
      <vt:variant>
        <vt:i4>1114160</vt:i4>
      </vt:variant>
      <vt:variant>
        <vt:i4>206</vt:i4>
      </vt:variant>
      <vt:variant>
        <vt:i4>0</vt:i4>
      </vt:variant>
      <vt:variant>
        <vt:i4>5</vt:i4>
      </vt:variant>
      <vt:variant>
        <vt:lpwstr/>
      </vt:variant>
      <vt:variant>
        <vt:lpwstr>_Toc107731501</vt:lpwstr>
      </vt:variant>
      <vt:variant>
        <vt:i4>1114160</vt:i4>
      </vt:variant>
      <vt:variant>
        <vt:i4>200</vt:i4>
      </vt:variant>
      <vt:variant>
        <vt:i4>0</vt:i4>
      </vt:variant>
      <vt:variant>
        <vt:i4>5</vt:i4>
      </vt:variant>
      <vt:variant>
        <vt:lpwstr/>
      </vt:variant>
      <vt:variant>
        <vt:lpwstr>_Toc107731500</vt:lpwstr>
      </vt:variant>
      <vt:variant>
        <vt:i4>1572913</vt:i4>
      </vt:variant>
      <vt:variant>
        <vt:i4>194</vt:i4>
      </vt:variant>
      <vt:variant>
        <vt:i4>0</vt:i4>
      </vt:variant>
      <vt:variant>
        <vt:i4>5</vt:i4>
      </vt:variant>
      <vt:variant>
        <vt:lpwstr/>
      </vt:variant>
      <vt:variant>
        <vt:lpwstr>_Toc107731499</vt:lpwstr>
      </vt:variant>
      <vt:variant>
        <vt:i4>1572913</vt:i4>
      </vt:variant>
      <vt:variant>
        <vt:i4>188</vt:i4>
      </vt:variant>
      <vt:variant>
        <vt:i4>0</vt:i4>
      </vt:variant>
      <vt:variant>
        <vt:i4>5</vt:i4>
      </vt:variant>
      <vt:variant>
        <vt:lpwstr/>
      </vt:variant>
      <vt:variant>
        <vt:lpwstr>_Toc107731498</vt:lpwstr>
      </vt:variant>
      <vt:variant>
        <vt:i4>1572913</vt:i4>
      </vt:variant>
      <vt:variant>
        <vt:i4>182</vt:i4>
      </vt:variant>
      <vt:variant>
        <vt:i4>0</vt:i4>
      </vt:variant>
      <vt:variant>
        <vt:i4>5</vt:i4>
      </vt:variant>
      <vt:variant>
        <vt:lpwstr/>
      </vt:variant>
      <vt:variant>
        <vt:lpwstr>_Toc107731497</vt:lpwstr>
      </vt:variant>
      <vt:variant>
        <vt:i4>1572913</vt:i4>
      </vt:variant>
      <vt:variant>
        <vt:i4>176</vt:i4>
      </vt:variant>
      <vt:variant>
        <vt:i4>0</vt:i4>
      </vt:variant>
      <vt:variant>
        <vt:i4>5</vt:i4>
      </vt:variant>
      <vt:variant>
        <vt:lpwstr/>
      </vt:variant>
      <vt:variant>
        <vt:lpwstr>_Toc107731496</vt:lpwstr>
      </vt:variant>
      <vt:variant>
        <vt:i4>1572913</vt:i4>
      </vt:variant>
      <vt:variant>
        <vt:i4>170</vt:i4>
      </vt:variant>
      <vt:variant>
        <vt:i4>0</vt:i4>
      </vt:variant>
      <vt:variant>
        <vt:i4>5</vt:i4>
      </vt:variant>
      <vt:variant>
        <vt:lpwstr/>
      </vt:variant>
      <vt:variant>
        <vt:lpwstr>_Toc107731495</vt:lpwstr>
      </vt:variant>
      <vt:variant>
        <vt:i4>1572913</vt:i4>
      </vt:variant>
      <vt:variant>
        <vt:i4>164</vt:i4>
      </vt:variant>
      <vt:variant>
        <vt:i4>0</vt:i4>
      </vt:variant>
      <vt:variant>
        <vt:i4>5</vt:i4>
      </vt:variant>
      <vt:variant>
        <vt:lpwstr/>
      </vt:variant>
      <vt:variant>
        <vt:lpwstr>_Toc107731494</vt:lpwstr>
      </vt:variant>
      <vt:variant>
        <vt:i4>1572913</vt:i4>
      </vt:variant>
      <vt:variant>
        <vt:i4>158</vt:i4>
      </vt:variant>
      <vt:variant>
        <vt:i4>0</vt:i4>
      </vt:variant>
      <vt:variant>
        <vt:i4>5</vt:i4>
      </vt:variant>
      <vt:variant>
        <vt:lpwstr/>
      </vt:variant>
      <vt:variant>
        <vt:lpwstr>_Toc107731493</vt:lpwstr>
      </vt:variant>
      <vt:variant>
        <vt:i4>1572913</vt:i4>
      </vt:variant>
      <vt:variant>
        <vt:i4>152</vt:i4>
      </vt:variant>
      <vt:variant>
        <vt:i4>0</vt:i4>
      </vt:variant>
      <vt:variant>
        <vt:i4>5</vt:i4>
      </vt:variant>
      <vt:variant>
        <vt:lpwstr/>
      </vt:variant>
      <vt:variant>
        <vt:lpwstr>_Toc107731492</vt:lpwstr>
      </vt:variant>
      <vt:variant>
        <vt:i4>1572913</vt:i4>
      </vt:variant>
      <vt:variant>
        <vt:i4>146</vt:i4>
      </vt:variant>
      <vt:variant>
        <vt:i4>0</vt:i4>
      </vt:variant>
      <vt:variant>
        <vt:i4>5</vt:i4>
      </vt:variant>
      <vt:variant>
        <vt:lpwstr/>
      </vt:variant>
      <vt:variant>
        <vt:lpwstr>_Toc107731491</vt:lpwstr>
      </vt:variant>
      <vt:variant>
        <vt:i4>1572913</vt:i4>
      </vt:variant>
      <vt:variant>
        <vt:i4>140</vt:i4>
      </vt:variant>
      <vt:variant>
        <vt:i4>0</vt:i4>
      </vt:variant>
      <vt:variant>
        <vt:i4>5</vt:i4>
      </vt:variant>
      <vt:variant>
        <vt:lpwstr/>
      </vt:variant>
      <vt:variant>
        <vt:lpwstr>_Toc107731490</vt:lpwstr>
      </vt:variant>
      <vt:variant>
        <vt:i4>1638449</vt:i4>
      </vt:variant>
      <vt:variant>
        <vt:i4>134</vt:i4>
      </vt:variant>
      <vt:variant>
        <vt:i4>0</vt:i4>
      </vt:variant>
      <vt:variant>
        <vt:i4>5</vt:i4>
      </vt:variant>
      <vt:variant>
        <vt:lpwstr/>
      </vt:variant>
      <vt:variant>
        <vt:lpwstr>_Toc107731489</vt:lpwstr>
      </vt:variant>
      <vt:variant>
        <vt:i4>1638449</vt:i4>
      </vt:variant>
      <vt:variant>
        <vt:i4>128</vt:i4>
      </vt:variant>
      <vt:variant>
        <vt:i4>0</vt:i4>
      </vt:variant>
      <vt:variant>
        <vt:i4>5</vt:i4>
      </vt:variant>
      <vt:variant>
        <vt:lpwstr/>
      </vt:variant>
      <vt:variant>
        <vt:lpwstr>_Toc107731488</vt:lpwstr>
      </vt:variant>
      <vt:variant>
        <vt:i4>1638449</vt:i4>
      </vt:variant>
      <vt:variant>
        <vt:i4>122</vt:i4>
      </vt:variant>
      <vt:variant>
        <vt:i4>0</vt:i4>
      </vt:variant>
      <vt:variant>
        <vt:i4>5</vt:i4>
      </vt:variant>
      <vt:variant>
        <vt:lpwstr/>
      </vt:variant>
      <vt:variant>
        <vt:lpwstr>_Toc107731487</vt:lpwstr>
      </vt:variant>
      <vt:variant>
        <vt:i4>1638449</vt:i4>
      </vt:variant>
      <vt:variant>
        <vt:i4>116</vt:i4>
      </vt:variant>
      <vt:variant>
        <vt:i4>0</vt:i4>
      </vt:variant>
      <vt:variant>
        <vt:i4>5</vt:i4>
      </vt:variant>
      <vt:variant>
        <vt:lpwstr/>
      </vt:variant>
      <vt:variant>
        <vt:lpwstr>_Toc107731486</vt:lpwstr>
      </vt:variant>
      <vt:variant>
        <vt:i4>1638449</vt:i4>
      </vt:variant>
      <vt:variant>
        <vt:i4>110</vt:i4>
      </vt:variant>
      <vt:variant>
        <vt:i4>0</vt:i4>
      </vt:variant>
      <vt:variant>
        <vt:i4>5</vt:i4>
      </vt:variant>
      <vt:variant>
        <vt:lpwstr/>
      </vt:variant>
      <vt:variant>
        <vt:lpwstr>_Toc107731485</vt:lpwstr>
      </vt:variant>
      <vt:variant>
        <vt:i4>1638449</vt:i4>
      </vt:variant>
      <vt:variant>
        <vt:i4>104</vt:i4>
      </vt:variant>
      <vt:variant>
        <vt:i4>0</vt:i4>
      </vt:variant>
      <vt:variant>
        <vt:i4>5</vt:i4>
      </vt:variant>
      <vt:variant>
        <vt:lpwstr/>
      </vt:variant>
      <vt:variant>
        <vt:lpwstr>_Toc107731484</vt:lpwstr>
      </vt:variant>
      <vt:variant>
        <vt:i4>1638449</vt:i4>
      </vt:variant>
      <vt:variant>
        <vt:i4>98</vt:i4>
      </vt:variant>
      <vt:variant>
        <vt:i4>0</vt:i4>
      </vt:variant>
      <vt:variant>
        <vt:i4>5</vt:i4>
      </vt:variant>
      <vt:variant>
        <vt:lpwstr/>
      </vt:variant>
      <vt:variant>
        <vt:lpwstr>_Toc107731483</vt:lpwstr>
      </vt:variant>
      <vt:variant>
        <vt:i4>1638449</vt:i4>
      </vt:variant>
      <vt:variant>
        <vt:i4>92</vt:i4>
      </vt:variant>
      <vt:variant>
        <vt:i4>0</vt:i4>
      </vt:variant>
      <vt:variant>
        <vt:i4>5</vt:i4>
      </vt:variant>
      <vt:variant>
        <vt:lpwstr/>
      </vt:variant>
      <vt:variant>
        <vt:lpwstr>_Toc107731482</vt:lpwstr>
      </vt:variant>
      <vt:variant>
        <vt:i4>1638449</vt:i4>
      </vt:variant>
      <vt:variant>
        <vt:i4>86</vt:i4>
      </vt:variant>
      <vt:variant>
        <vt:i4>0</vt:i4>
      </vt:variant>
      <vt:variant>
        <vt:i4>5</vt:i4>
      </vt:variant>
      <vt:variant>
        <vt:lpwstr/>
      </vt:variant>
      <vt:variant>
        <vt:lpwstr>_Toc107731481</vt:lpwstr>
      </vt:variant>
      <vt:variant>
        <vt:i4>1638449</vt:i4>
      </vt:variant>
      <vt:variant>
        <vt:i4>80</vt:i4>
      </vt:variant>
      <vt:variant>
        <vt:i4>0</vt:i4>
      </vt:variant>
      <vt:variant>
        <vt:i4>5</vt:i4>
      </vt:variant>
      <vt:variant>
        <vt:lpwstr/>
      </vt:variant>
      <vt:variant>
        <vt:lpwstr>_Toc107731480</vt:lpwstr>
      </vt:variant>
      <vt:variant>
        <vt:i4>1441841</vt:i4>
      </vt:variant>
      <vt:variant>
        <vt:i4>74</vt:i4>
      </vt:variant>
      <vt:variant>
        <vt:i4>0</vt:i4>
      </vt:variant>
      <vt:variant>
        <vt:i4>5</vt:i4>
      </vt:variant>
      <vt:variant>
        <vt:lpwstr/>
      </vt:variant>
      <vt:variant>
        <vt:lpwstr>_Toc107731479</vt:lpwstr>
      </vt:variant>
      <vt:variant>
        <vt:i4>1441841</vt:i4>
      </vt:variant>
      <vt:variant>
        <vt:i4>68</vt:i4>
      </vt:variant>
      <vt:variant>
        <vt:i4>0</vt:i4>
      </vt:variant>
      <vt:variant>
        <vt:i4>5</vt:i4>
      </vt:variant>
      <vt:variant>
        <vt:lpwstr/>
      </vt:variant>
      <vt:variant>
        <vt:lpwstr>_Toc107731478</vt:lpwstr>
      </vt:variant>
      <vt:variant>
        <vt:i4>1441841</vt:i4>
      </vt:variant>
      <vt:variant>
        <vt:i4>62</vt:i4>
      </vt:variant>
      <vt:variant>
        <vt:i4>0</vt:i4>
      </vt:variant>
      <vt:variant>
        <vt:i4>5</vt:i4>
      </vt:variant>
      <vt:variant>
        <vt:lpwstr/>
      </vt:variant>
      <vt:variant>
        <vt:lpwstr>_Toc107731477</vt:lpwstr>
      </vt:variant>
      <vt:variant>
        <vt:i4>1441841</vt:i4>
      </vt:variant>
      <vt:variant>
        <vt:i4>56</vt:i4>
      </vt:variant>
      <vt:variant>
        <vt:i4>0</vt:i4>
      </vt:variant>
      <vt:variant>
        <vt:i4>5</vt:i4>
      </vt:variant>
      <vt:variant>
        <vt:lpwstr/>
      </vt:variant>
      <vt:variant>
        <vt:lpwstr>_Toc107731476</vt:lpwstr>
      </vt:variant>
      <vt:variant>
        <vt:i4>1441841</vt:i4>
      </vt:variant>
      <vt:variant>
        <vt:i4>50</vt:i4>
      </vt:variant>
      <vt:variant>
        <vt:i4>0</vt:i4>
      </vt:variant>
      <vt:variant>
        <vt:i4>5</vt:i4>
      </vt:variant>
      <vt:variant>
        <vt:lpwstr/>
      </vt:variant>
      <vt:variant>
        <vt:lpwstr>_Toc107731475</vt:lpwstr>
      </vt:variant>
      <vt:variant>
        <vt:i4>1441841</vt:i4>
      </vt:variant>
      <vt:variant>
        <vt:i4>44</vt:i4>
      </vt:variant>
      <vt:variant>
        <vt:i4>0</vt:i4>
      </vt:variant>
      <vt:variant>
        <vt:i4>5</vt:i4>
      </vt:variant>
      <vt:variant>
        <vt:lpwstr/>
      </vt:variant>
      <vt:variant>
        <vt:lpwstr>_Toc107731474</vt:lpwstr>
      </vt:variant>
      <vt:variant>
        <vt:i4>1441841</vt:i4>
      </vt:variant>
      <vt:variant>
        <vt:i4>38</vt:i4>
      </vt:variant>
      <vt:variant>
        <vt:i4>0</vt:i4>
      </vt:variant>
      <vt:variant>
        <vt:i4>5</vt:i4>
      </vt:variant>
      <vt:variant>
        <vt:lpwstr/>
      </vt:variant>
      <vt:variant>
        <vt:lpwstr>_Toc107731473</vt:lpwstr>
      </vt:variant>
      <vt:variant>
        <vt:i4>1441841</vt:i4>
      </vt:variant>
      <vt:variant>
        <vt:i4>32</vt:i4>
      </vt:variant>
      <vt:variant>
        <vt:i4>0</vt:i4>
      </vt:variant>
      <vt:variant>
        <vt:i4>5</vt:i4>
      </vt:variant>
      <vt:variant>
        <vt:lpwstr/>
      </vt:variant>
      <vt:variant>
        <vt:lpwstr>_Toc107731472</vt:lpwstr>
      </vt:variant>
      <vt:variant>
        <vt:i4>1441841</vt:i4>
      </vt:variant>
      <vt:variant>
        <vt:i4>26</vt:i4>
      </vt:variant>
      <vt:variant>
        <vt:i4>0</vt:i4>
      </vt:variant>
      <vt:variant>
        <vt:i4>5</vt:i4>
      </vt:variant>
      <vt:variant>
        <vt:lpwstr/>
      </vt:variant>
      <vt:variant>
        <vt:lpwstr>_Toc107731471</vt:lpwstr>
      </vt:variant>
      <vt:variant>
        <vt:i4>1441841</vt:i4>
      </vt:variant>
      <vt:variant>
        <vt:i4>20</vt:i4>
      </vt:variant>
      <vt:variant>
        <vt:i4>0</vt:i4>
      </vt:variant>
      <vt:variant>
        <vt:i4>5</vt:i4>
      </vt:variant>
      <vt:variant>
        <vt:lpwstr/>
      </vt:variant>
      <vt:variant>
        <vt:lpwstr>_Toc107731470</vt:lpwstr>
      </vt:variant>
      <vt:variant>
        <vt:i4>1507377</vt:i4>
      </vt:variant>
      <vt:variant>
        <vt:i4>14</vt:i4>
      </vt:variant>
      <vt:variant>
        <vt:i4>0</vt:i4>
      </vt:variant>
      <vt:variant>
        <vt:i4>5</vt:i4>
      </vt:variant>
      <vt:variant>
        <vt:lpwstr/>
      </vt:variant>
      <vt:variant>
        <vt:lpwstr>_Toc107731469</vt:lpwstr>
      </vt:variant>
      <vt:variant>
        <vt:i4>1507377</vt:i4>
      </vt:variant>
      <vt:variant>
        <vt:i4>8</vt:i4>
      </vt:variant>
      <vt:variant>
        <vt:i4>0</vt:i4>
      </vt:variant>
      <vt:variant>
        <vt:i4>5</vt:i4>
      </vt:variant>
      <vt:variant>
        <vt:lpwstr/>
      </vt:variant>
      <vt:variant>
        <vt:lpwstr>_Toc107731468</vt:lpwstr>
      </vt:variant>
      <vt:variant>
        <vt:i4>1507377</vt:i4>
      </vt:variant>
      <vt:variant>
        <vt:i4>2</vt:i4>
      </vt:variant>
      <vt:variant>
        <vt:i4>0</vt:i4>
      </vt:variant>
      <vt:variant>
        <vt:i4>5</vt:i4>
      </vt:variant>
      <vt:variant>
        <vt:lpwstr/>
      </vt:variant>
      <vt:variant>
        <vt:lpwstr>_Toc107731467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GAAP Manual</dc:subject>
  <dc:creator>Ghent, Kelly</dc:creator>
  <cp:lastModifiedBy>Ballard-Sholly, Layla</cp:lastModifiedBy>
  <cp:revision>89</cp:revision>
  <cp:lastPrinted>2023-05-12T17:35:00Z</cp:lastPrinted>
  <dcterms:created xsi:type="dcterms:W3CDTF">2023-04-19T13:19:00Z</dcterms:created>
  <dcterms:modified xsi:type="dcterms:W3CDTF">2025-05-30T18:04:00Z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0x010100C1579C0F502CC249B8D79F4DBDE58AB4</vt:lpwstr>
  </property>
</Properties>
</file>